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EF80" w14:textId="77777777" w:rsidR="00932484" w:rsidRPr="00AF30A8" w:rsidRDefault="00000000">
      <w:pPr>
        <w:spacing w:after="0" w:line="480" w:lineRule="auto"/>
        <w:jc w:val="center"/>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Between Regulation and Accessibility: How Chinese University Students Navigate Global and Domestic Generative AI</w:t>
      </w:r>
    </w:p>
    <w:p w14:paraId="5A52D45F" w14:textId="77777777" w:rsidR="00902C62" w:rsidRPr="00AF30A8" w:rsidRDefault="00902C62" w:rsidP="006C31FA">
      <w:pPr>
        <w:spacing w:after="0" w:line="480" w:lineRule="auto"/>
        <w:jc w:val="center"/>
        <w:rPr>
          <w:rFonts w:ascii="Times New Roman" w:eastAsia="Times New Roman" w:hAnsi="Times New Roman" w:cs="Times New Roman"/>
          <w:color w:val="000000" w:themeColor="text1"/>
        </w:rPr>
      </w:pPr>
    </w:p>
    <w:p w14:paraId="36AA164E" w14:textId="77777777" w:rsidR="006C31FA" w:rsidRPr="00AF30A8" w:rsidRDefault="006C31FA" w:rsidP="006C31FA">
      <w:pPr>
        <w:spacing w:after="0" w:line="480" w:lineRule="auto"/>
        <w:jc w:val="center"/>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Qin Xie, University of Minnesota, USA</w:t>
      </w:r>
    </w:p>
    <w:p w14:paraId="3626875A" w14:textId="77777777" w:rsidR="006C31FA" w:rsidRPr="00AF30A8" w:rsidRDefault="006C31FA" w:rsidP="006C31FA">
      <w:pPr>
        <w:spacing w:after="0" w:line="480" w:lineRule="auto"/>
        <w:jc w:val="center"/>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Ming Li, The University of Osaka, Japan </w:t>
      </w:r>
    </w:p>
    <w:p w14:paraId="7F235970" w14:textId="77777777" w:rsidR="006C31FA" w:rsidRPr="00AF30A8" w:rsidRDefault="006C31FA" w:rsidP="006C31FA">
      <w:pPr>
        <w:spacing w:after="0" w:line="480" w:lineRule="auto"/>
        <w:jc w:val="center"/>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Fei Cheng, Kyoto University, Japan</w:t>
      </w:r>
    </w:p>
    <w:p w14:paraId="0A2B246A" w14:textId="77777777" w:rsidR="006C31FA" w:rsidRPr="00AF30A8" w:rsidRDefault="006C31FA" w:rsidP="006C31FA">
      <w:pPr>
        <w:spacing w:after="0" w:line="240" w:lineRule="auto"/>
        <w:rPr>
          <w:rFonts w:ascii="Times New Roman" w:eastAsia="Times New Roman" w:hAnsi="Times New Roman" w:cs="Times New Roman"/>
          <w:color w:val="000000" w:themeColor="text1"/>
        </w:rPr>
      </w:pPr>
    </w:p>
    <w:p w14:paraId="34209A40" w14:textId="77777777" w:rsidR="006C31FA" w:rsidRPr="00AF30A8" w:rsidRDefault="006C31FA" w:rsidP="006C31FA">
      <w:pPr>
        <w:rPr>
          <w:rFonts w:ascii="Times New Roman" w:hAnsi="Times New Roman" w:cs="Times New Roman"/>
          <w:color w:val="000000" w:themeColor="text1"/>
        </w:rPr>
      </w:pPr>
    </w:p>
    <w:p w14:paraId="61CA5560" w14:textId="77777777" w:rsidR="00942460" w:rsidRPr="00AF30A8" w:rsidRDefault="00942460" w:rsidP="00942460">
      <w:pPr>
        <w:spacing w:before="360" w:after="120" w:line="480" w:lineRule="auto"/>
        <w:rPr>
          <w:rFonts w:ascii="Times New Roman" w:hAnsi="Times New Roman" w:cs="Times New Roman"/>
          <w:color w:val="000000" w:themeColor="text1"/>
          <w:lang w:val="en-US"/>
        </w:rPr>
      </w:pPr>
      <w:r w:rsidRPr="00AF30A8">
        <w:rPr>
          <w:rFonts w:ascii="Times New Roman" w:hAnsi="Times New Roman" w:cs="Times New Roman"/>
          <w:color w:val="000000" w:themeColor="text1"/>
          <w:lang w:val="en-US"/>
        </w:rPr>
        <w:t>Qin Xie (</w:t>
      </w:r>
      <w:hyperlink r:id="rId8" w:history="1">
        <w:r w:rsidRPr="00AF30A8">
          <w:rPr>
            <w:rStyle w:val="Hyperlink"/>
            <w:rFonts w:ascii="Times New Roman" w:hAnsi="Times New Roman" w:cs="Times New Roman"/>
            <w:color w:val="000000" w:themeColor="text1"/>
            <w:lang w:val="en-US"/>
          </w:rPr>
          <w:t>xie00355@umn.edu</w:t>
        </w:r>
      </w:hyperlink>
      <w:r w:rsidRPr="00AF30A8">
        <w:rPr>
          <w:rFonts w:ascii="Times New Roman" w:hAnsi="Times New Roman" w:cs="Times New Roman"/>
          <w:color w:val="000000" w:themeColor="text1"/>
          <w:lang w:val="en-US"/>
        </w:rPr>
        <w:t xml:space="preserve">) is a PhD student at the Department of Organizational Leadership, Policy, University of Minnesota. Her research focuses on AI and education, digital equity. </w:t>
      </w:r>
    </w:p>
    <w:p w14:paraId="2A3A32B2" w14:textId="203BB7DA" w:rsidR="00942460" w:rsidRPr="00AF30A8" w:rsidRDefault="00942460" w:rsidP="00942460">
      <w:pPr>
        <w:spacing w:before="360" w:after="120" w:line="480" w:lineRule="auto"/>
        <w:rPr>
          <w:rFonts w:ascii="Times New Roman" w:hAnsi="Times New Roman" w:cs="Times New Roman"/>
          <w:b/>
          <w:bCs/>
          <w:color w:val="000000" w:themeColor="text1"/>
        </w:rPr>
      </w:pPr>
      <w:r w:rsidRPr="00AF30A8">
        <w:rPr>
          <w:color w:val="000000" w:themeColor="text1"/>
          <w:lang w:val="en-US"/>
        </w:rPr>
        <w:t xml:space="preserve"> </w:t>
      </w:r>
      <w:r w:rsidRPr="00AF30A8">
        <w:rPr>
          <w:rFonts w:ascii="Times New Roman" w:hAnsi="Times New Roman" w:cs="Times New Roman"/>
          <w:color w:val="000000" w:themeColor="text1"/>
          <w:shd w:val="clear" w:color="auto" w:fill="FFFFFF"/>
        </w:rPr>
        <w:t>Ming Li (</w:t>
      </w:r>
      <w:hyperlink r:id="rId9" w:history="1">
        <w:r w:rsidRPr="00AF30A8">
          <w:rPr>
            <w:rStyle w:val="Hyperlink"/>
            <w:rFonts w:ascii="Times New Roman" w:hAnsi="Times New Roman" w:cs="Times New Roman"/>
            <w:color w:val="000000" w:themeColor="text1"/>
            <w:shd w:val="clear" w:color="auto" w:fill="FFFFFF"/>
          </w:rPr>
          <w:t>li.ming.itgp@osaka-u.ac.jp</w:t>
        </w:r>
      </w:hyperlink>
      <w:r w:rsidRPr="00AF30A8">
        <w:rPr>
          <w:rFonts w:ascii="Times New Roman" w:hAnsi="Times New Roman" w:cs="Times New Roman"/>
          <w:color w:val="000000" w:themeColor="text1"/>
          <w:shd w:val="clear" w:color="auto" w:fill="FFFFFF"/>
        </w:rPr>
        <w:t xml:space="preserve">), PhD, is an Associate Professor at the Institute for Transdisciplinary Graduate Degree Programs at </w:t>
      </w:r>
      <w:r w:rsidR="006A149E" w:rsidRPr="00B64D0F">
        <w:rPr>
          <w:rFonts w:ascii="Times New Roman" w:hAnsi="Times New Roman" w:cs="Times New Roman"/>
          <w:color w:val="000000" w:themeColor="text1"/>
          <w:shd w:val="clear" w:color="auto" w:fill="FFFFFF"/>
        </w:rPr>
        <w:t>The University of</w:t>
      </w:r>
      <w:r w:rsidR="006A149E">
        <w:rPr>
          <w:rFonts w:ascii="Times New Roman" w:hAnsi="Times New Roman" w:cs="Times New Roman"/>
          <w:color w:val="000000" w:themeColor="text1"/>
          <w:shd w:val="clear" w:color="auto" w:fill="FFFFFF"/>
        </w:rPr>
        <w:t xml:space="preserve"> </w:t>
      </w:r>
      <w:r w:rsidRPr="00AF30A8">
        <w:rPr>
          <w:rFonts w:ascii="Times New Roman" w:hAnsi="Times New Roman" w:cs="Times New Roman"/>
          <w:color w:val="000000" w:themeColor="text1"/>
          <w:shd w:val="clear" w:color="auto" w:fill="FFFFFF"/>
        </w:rPr>
        <w:t xml:space="preserve">Osaka, Japan. Her primary academic interests encompass the internationalization of higher education, international student mobility, interdisciplinary education, and the integration of generative AI in higher education. </w:t>
      </w:r>
    </w:p>
    <w:p w14:paraId="15B7A2F2" w14:textId="0CD6EAC9" w:rsidR="00942460" w:rsidRPr="00AF30A8" w:rsidRDefault="00942460" w:rsidP="00942460">
      <w:pPr>
        <w:spacing w:before="360" w:after="120" w:line="480" w:lineRule="auto"/>
        <w:rPr>
          <w:rFonts w:ascii="Times New Roman" w:hAnsi="Times New Roman" w:cs="Times New Roman"/>
          <w:b/>
          <w:bCs/>
          <w:color w:val="000000" w:themeColor="text1"/>
          <w:lang w:val="en-US"/>
        </w:rPr>
      </w:pPr>
      <w:r w:rsidRPr="00AF30A8">
        <w:rPr>
          <w:rFonts w:ascii="Times New Roman" w:eastAsia="Times New Roman" w:hAnsi="Times New Roman" w:cs="Times New Roman"/>
          <w:color w:val="000000" w:themeColor="text1"/>
          <w:lang w:val="en-US"/>
        </w:rPr>
        <w:t>Fei Cheng (</w:t>
      </w:r>
      <w:hyperlink r:id="rId10" w:history="1">
        <w:r w:rsidRPr="00AF30A8">
          <w:rPr>
            <w:rStyle w:val="Hyperlink"/>
            <w:rFonts w:ascii="Times New Roman" w:eastAsia="Times New Roman" w:hAnsi="Times New Roman" w:cs="Times New Roman"/>
            <w:color w:val="000000" w:themeColor="text1"/>
            <w:lang w:val="en-US"/>
          </w:rPr>
          <w:t>feicheng@i.kyoto-u.ac.jp</w:t>
        </w:r>
      </w:hyperlink>
      <w:r w:rsidRPr="00AF30A8">
        <w:rPr>
          <w:rFonts w:ascii="Times New Roman" w:eastAsia="Times New Roman" w:hAnsi="Times New Roman" w:cs="Times New Roman"/>
          <w:color w:val="000000" w:themeColor="text1"/>
          <w:lang w:val="en-US"/>
        </w:rPr>
        <w:t>)</w:t>
      </w:r>
      <w:r w:rsidRPr="00AF30A8">
        <w:rPr>
          <w:color w:val="000000" w:themeColor="text1"/>
        </w:rPr>
        <w:t xml:space="preserve"> </w:t>
      </w:r>
      <w:r w:rsidRPr="00AF30A8">
        <w:rPr>
          <w:rFonts w:ascii="Times New Roman" w:eastAsia="Times New Roman" w:hAnsi="Times New Roman" w:cs="Times New Roman"/>
          <w:color w:val="000000" w:themeColor="text1"/>
          <w:lang w:val="en-US"/>
        </w:rPr>
        <w:t xml:space="preserve">is a </w:t>
      </w:r>
      <w:r w:rsidR="00DF58C6" w:rsidRPr="00DF58C6">
        <w:rPr>
          <w:rFonts w:ascii="Times New Roman" w:eastAsia="Times New Roman" w:hAnsi="Times New Roman" w:cs="Times New Roman"/>
          <w:color w:val="000000" w:themeColor="text1"/>
          <w:lang w:val="en-US"/>
        </w:rPr>
        <w:t>Junior</w:t>
      </w:r>
      <w:r w:rsidR="00DF58C6">
        <w:rPr>
          <w:rFonts w:ascii="Times New Roman" w:eastAsia="Times New Roman" w:hAnsi="Times New Roman" w:cs="Times New Roman"/>
          <w:color w:val="000000" w:themeColor="text1"/>
          <w:lang w:val="en-US"/>
        </w:rPr>
        <w:t xml:space="preserve"> </w:t>
      </w:r>
      <w:r w:rsidRPr="00AF30A8">
        <w:rPr>
          <w:rFonts w:ascii="Times New Roman" w:eastAsia="Times New Roman" w:hAnsi="Times New Roman" w:cs="Times New Roman"/>
          <w:color w:val="000000" w:themeColor="text1"/>
          <w:lang w:val="en-US"/>
        </w:rPr>
        <w:t>Associate Professor at Kyoto University, specializing in Natural Language Processing (NLP), Information Extraction, Numerical Reasoning, and Morphological Analysis.</w:t>
      </w:r>
    </w:p>
    <w:p w14:paraId="40F2CDF2" w14:textId="77777777" w:rsidR="00942460" w:rsidRPr="00AF30A8" w:rsidRDefault="00942460">
      <w:pPr>
        <w:spacing w:before="360" w:after="120" w:line="480" w:lineRule="auto"/>
        <w:jc w:val="center"/>
        <w:rPr>
          <w:rFonts w:ascii="Times New Roman" w:hAnsi="Times New Roman" w:cs="Times New Roman"/>
          <w:b/>
          <w:bCs/>
          <w:color w:val="000000" w:themeColor="text1"/>
          <w:lang w:val="en-US"/>
        </w:rPr>
      </w:pPr>
    </w:p>
    <w:p w14:paraId="3DD380F3" w14:textId="77777777" w:rsidR="00942460" w:rsidRPr="00AF30A8" w:rsidRDefault="00942460">
      <w:pPr>
        <w:spacing w:before="360" w:after="120" w:line="480" w:lineRule="auto"/>
        <w:jc w:val="center"/>
        <w:rPr>
          <w:rFonts w:ascii="Times New Roman" w:hAnsi="Times New Roman" w:cs="Times New Roman"/>
          <w:b/>
          <w:bCs/>
          <w:color w:val="000000" w:themeColor="text1"/>
          <w:lang w:val="en-US"/>
        </w:rPr>
      </w:pPr>
    </w:p>
    <w:p w14:paraId="7606C16A" w14:textId="77777777" w:rsidR="006C31FA" w:rsidRPr="00AF30A8" w:rsidRDefault="006C31FA" w:rsidP="00902C62">
      <w:pPr>
        <w:spacing w:before="360" w:after="120" w:line="480" w:lineRule="auto"/>
        <w:rPr>
          <w:rFonts w:ascii="Times New Roman" w:eastAsia="Times New Roman" w:hAnsi="Times New Roman" w:cs="Times New Roman"/>
          <w:b/>
          <w:color w:val="000000" w:themeColor="text1"/>
          <w:lang w:val="en-US"/>
        </w:rPr>
      </w:pPr>
    </w:p>
    <w:p w14:paraId="7C370939" w14:textId="77777777" w:rsidR="00932484" w:rsidRPr="00AF30A8" w:rsidRDefault="00000000">
      <w:pPr>
        <w:spacing w:before="360" w:after="120" w:line="480" w:lineRule="auto"/>
        <w:jc w:val="center"/>
        <w:rPr>
          <w:rFonts w:ascii="Times New Roman" w:eastAsia="Times New Roman" w:hAnsi="Times New Roman" w:cs="Times New Roman"/>
          <w:color w:val="000000" w:themeColor="text1"/>
        </w:rPr>
      </w:pPr>
      <w:r w:rsidRPr="00AF30A8">
        <w:rPr>
          <w:rFonts w:ascii="Times New Roman" w:eastAsia="Times New Roman" w:hAnsi="Times New Roman" w:cs="Times New Roman"/>
          <w:b/>
          <w:color w:val="000000" w:themeColor="text1"/>
        </w:rPr>
        <w:lastRenderedPageBreak/>
        <w:t>Abstract</w:t>
      </w:r>
    </w:p>
    <w:p w14:paraId="6669CA5D" w14:textId="77777777" w:rsidR="00094D40" w:rsidRPr="00AF30A8" w:rsidRDefault="00094D4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Generative AI is rapidly reshaping higher education, yet students in China face barriers to accessing global tools such as ChatGPT due to regulatory and technological constraints. Guided by the Unified Theory of Acceptance and Use of Technology 2 (UTAUT2), this study employs qualitative interviews to examine how Chinese university students engage with global and domestic generative AI in their learning. Findings show that accessibility and cost strongly shape adoption. Limited access to global tools and the expense of paid versions led many students to rely on domestic alternatives, though some used VPNs or shared accounts to access tools perceived as more beneficial. Language proficiency and disciplinary background also influenced engagement: STEM and English-medium students preferred global AI for technical or English-based tasks, while humanities students favored domestic AI for Chinese-language and culturally grounded assignments. Students further viewed domestic AI as more aligned with local norms and political contexts, whereas global systems often lacked cultural nuance. By illuminating the accessibility, linguistic, disciplinary, and cultural dimensions of AI adoption, this study advances understanding of generative AI integration in non-Western higher education and calls for human-centered, multilingual, and contextually responsive approaches to foster equity in digital learning.</w:t>
      </w:r>
    </w:p>
    <w:p w14:paraId="038538F7" w14:textId="77777777" w:rsidR="00094D40" w:rsidRPr="00AF30A8" w:rsidRDefault="00094D40">
      <w:pPr>
        <w:spacing w:after="0" w:line="480" w:lineRule="auto"/>
        <w:jc w:val="both"/>
        <w:rPr>
          <w:rFonts w:ascii="Times New Roman" w:eastAsia="Times New Roman" w:hAnsi="Times New Roman" w:cs="Times New Roman"/>
          <w:color w:val="000000" w:themeColor="text1"/>
        </w:rPr>
      </w:pPr>
    </w:p>
    <w:p w14:paraId="28E713C7" w14:textId="77777777"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i/>
          <w:color w:val="000000" w:themeColor="text1"/>
        </w:rPr>
        <w:t xml:space="preserve">Keywords: </w:t>
      </w:r>
      <w:r w:rsidRPr="00AF30A8">
        <w:rPr>
          <w:rFonts w:ascii="Times New Roman" w:eastAsia="Times New Roman" w:hAnsi="Times New Roman" w:cs="Times New Roman"/>
          <w:color w:val="000000" w:themeColor="text1"/>
        </w:rPr>
        <w:t>Generative AI, higher education, UTAUT2, technology adoption, digital equity, China</w:t>
      </w:r>
    </w:p>
    <w:p w14:paraId="43EE8E09" w14:textId="77777777" w:rsidR="00932484" w:rsidRPr="00AF30A8" w:rsidRDefault="00932484">
      <w:pPr>
        <w:spacing w:after="0" w:line="480" w:lineRule="auto"/>
        <w:jc w:val="center"/>
        <w:rPr>
          <w:rFonts w:ascii="Times New Roman" w:eastAsia="Times New Roman" w:hAnsi="Times New Roman" w:cs="Times New Roman"/>
          <w:b/>
          <w:color w:val="000000" w:themeColor="text1"/>
        </w:rPr>
      </w:pPr>
    </w:p>
    <w:p w14:paraId="31CBD9D2" w14:textId="77777777" w:rsidR="006C31FA" w:rsidRPr="00AF30A8" w:rsidRDefault="006C31FA">
      <w:pPr>
        <w:spacing w:after="0" w:line="480" w:lineRule="auto"/>
        <w:jc w:val="center"/>
        <w:rPr>
          <w:rFonts w:ascii="Times New Roman" w:eastAsia="Times New Roman" w:hAnsi="Times New Roman" w:cs="Times New Roman"/>
          <w:b/>
          <w:color w:val="000000" w:themeColor="text1"/>
        </w:rPr>
      </w:pPr>
    </w:p>
    <w:p w14:paraId="74700C00" w14:textId="77777777" w:rsidR="006C31FA" w:rsidRPr="00AF30A8" w:rsidRDefault="006C31FA">
      <w:pPr>
        <w:spacing w:after="0" w:line="480" w:lineRule="auto"/>
        <w:jc w:val="center"/>
        <w:rPr>
          <w:rFonts w:ascii="Times New Roman" w:eastAsia="Times New Roman" w:hAnsi="Times New Roman" w:cs="Times New Roman"/>
          <w:b/>
          <w:color w:val="000000" w:themeColor="text1"/>
        </w:rPr>
      </w:pPr>
    </w:p>
    <w:p w14:paraId="09895D7B" w14:textId="77777777" w:rsidR="00094D40" w:rsidRPr="00AF30A8" w:rsidRDefault="00094D40">
      <w:pPr>
        <w:spacing w:after="0" w:line="480" w:lineRule="auto"/>
        <w:jc w:val="center"/>
        <w:rPr>
          <w:rFonts w:ascii="Times New Roman" w:eastAsia="Times New Roman" w:hAnsi="Times New Roman" w:cs="Times New Roman"/>
          <w:b/>
          <w:color w:val="000000" w:themeColor="text1"/>
        </w:rPr>
      </w:pPr>
    </w:p>
    <w:p w14:paraId="75D3E65C" w14:textId="77777777" w:rsidR="00094D40" w:rsidRPr="00AF30A8" w:rsidRDefault="00094D40">
      <w:pPr>
        <w:spacing w:after="0" w:line="480" w:lineRule="auto"/>
        <w:jc w:val="center"/>
        <w:rPr>
          <w:rFonts w:ascii="Times New Roman" w:eastAsia="Times New Roman" w:hAnsi="Times New Roman" w:cs="Times New Roman"/>
          <w:b/>
          <w:color w:val="000000" w:themeColor="text1"/>
        </w:rPr>
      </w:pPr>
    </w:p>
    <w:p w14:paraId="5D395DD7" w14:textId="77777777" w:rsidR="00932484" w:rsidRPr="00AF30A8" w:rsidRDefault="00000000">
      <w:pPr>
        <w:spacing w:after="0" w:line="480" w:lineRule="auto"/>
        <w:jc w:val="center"/>
        <w:rPr>
          <w:rFonts w:ascii="Times New Roman" w:eastAsia="Times New Roman" w:hAnsi="Times New Roman" w:cs="Times New Roman"/>
          <w:b/>
          <w:color w:val="000000" w:themeColor="text1"/>
          <w:sz w:val="36"/>
          <w:szCs w:val="36"/>
        </w:rPr>
      </w:pPr>
      <w:r w:rsidRPr="00AF30A8">
        <w:rPr>
          <w:rFonts w:ascii="Times New Roman" w:eastAsia="Times New Roman" w:hAnsi="Times New Roman" w:cs="Times New Roman"/>
          <w:b/>
          <w:color w:val="000000" w:themeColor="text1"/>
        </w:rPr>
        <w:lastRenderedPageBreak/>
        <w:t>Introduction</w:t>
      </w:r>
    </w:p>
    <w:p w14:paraId="7CD1FC0F"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With the advent of ChatGPT, generative AI has been rapidly adopted in higher education, profoundly transforming students’ learning approaches and academic outcomes (Rasul et al. 2023). The integration of generative AI into higher education provides students with more efficient learning assistants, supporting autonomous learning, enhancing writing and research capabilities, and facilitating personalized education (Baidoo-Anu </w:t>
      </w:r>
      <w:r w:rsidR="00DB7D67">
        <w:rPr>
          <w:rFonts w:ascii="Times New Roman" w:eastAsia="Times New Roman" w:hAnsi="Times New Roman" w:cs="Times New Roman"/>
          <w:color w:val="000000" w:themeColor="text1"/>
        </w:rPr>
        <w:t>and</w:t>
      </w:r>
      <w:r w:rsidRPr="00AF30A8">
        <w:rPr>
          <w:rFonts w:ascii="Times New Roman" w:eastAsia="Times New Roman" w:hAnsi="Times New Roman" w:cs="Times New Roman"/>
          <w:color w:val="000000" w:themeColor="text1"/>
        </w:rPr>
        <w:t xml:space="preserve"> Ansah</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2023; Li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2025a; Udeh 2025). However, it also raises concerns regarding academic integrity, the reliability of generated information, and students’ over-reliance on AI-generated content (Li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2024; Sullivan </w:t>
      </w:r>
      <w:r w:rsidR="00DB7D67">
        <w:rPr>
          <w:rFonts w:ascii="Times New Roman" w:eastAsia="Times New Roman" w:hAnsi="Times New Roman" w:cs="Times New Roman"/>
          <w:color w:val="000000" w:themeColor="text1"/>
        </w:rPr>
        <w:t>and</w:t>
      </w:r>
      <w:r w:rsidRPr="00AF30A8">
        <w:rPr>
          <w:rFonts w:ascii="Times New Roman" w:eastAsia="Times New Roman" w:hAnsi="Times New Roman" w:cs="Times New Roman"/>
          <w:color w:val="000000" w:themeColor="text1"/>
        </w:rPr>
        <w:t xml:space="preserve"> McLaughlan</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2023; Yusuf </w:t>
      </w:r>
      <w:r w:rsidR="00DB7D67">
        <w:rPr>
          <w:rFonts w:ascii="Times New Roman" w:eastAsia="Times New Roman" w:hAnsi="Times New Roman" w:cs="Times New Roman"/>
          <w:color w:val="000000" w:themeColor="text1"/>
        </w:rPr>
        <w:t>and</w:t>
      </w:r>
      <w:r w:rsidRPr="00AF30A8">
        <w:rPr>
          <w:rFonts w:ascii="Times New Roman" w:eastAsia="Times New Roman" w:hAnsi="Times New Roman" w:cs="Times New Roman"/>
          <w:color w:val="000000" w:themeColor="text1"/>
        </w:rPr>
        <w:t xml:space="preserve"> Román-González</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2024).</w:t>
      </w:r>
    </w:p>
    <w:p w14:paraId="1EBFCE6D"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In response to both the opportunities and challenges posed by generative AI, regulatory initiatives have emerged at global, national, and institutional levels. International organizations such as UNESCO and the European Union have issued guidelines to support universities in governing the academic use of generative AI (European Commission</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2023; Miao </w:t>
      </w:r>
      <w:r w:rsidR="00DB7D67">
        <w:rPr>
          <w:rFonts w:ascii="Times New Roman" w:eastAsia="Times New Roman" w:hAnsi="Times New Roman" w:cs="Times New Roman"/>
          <w:color w:val="000000" w:themeColor="text1"/>
        </w:rPr>
        <w:t>and</w:t>
      </w:r>
      <w:r w:rsidRPr="00AF30A8">
        <w:rPr>
          <w:rFonts w:ascii="Times New Roman" w:eastAsia="Times New Roman" w:hAnsi="Times New Roman" w:cs="Times New Roman"/>
          <w:color w:val="000000" w:themeColor="text1"/>
        </w:rPr>
        <w:t xml:space="preserve"> Holmes</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2023). While some countries have enacted policies addressing its educational implications, others remain in exploratory or observational stages (Vidal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2023; Xie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2024). Leading universities worldwide are developing institutional policies and faculty training programs to promote the ethical integration of generative AI in higher education (Dabis </w:t>
      </w:r>
      <w:r w:rsidR="00DB7D67">
        <w:rPr>
          <w:rFonts w:ascii="Times New Roman" w:eastAsia="Times New Roman" w:hAnsi="Times New Roman" w:cs="Times New Roman"/>
          <w:color w:val="000000" w:themeColor="text1"/>
        </w:rPr>
        <w:t>and</w:t>
      </w:r>
      <w:r w:rsidRPr="00AF30A8">
        <w:rPr>
          <w:rFonts w:ascii="Times New Roman" w:eastAsia="Times New Roman" w:hAnsi="Times New Roman" w:cs="Times New Roman"/>
          <w:color w:val="000000" w:themeColor="text1"/>
        </w:rPr>
        <w:t xml:space="preserve"> Csáki</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2024). Nonetheless, governments and institutions differ in their responsiveness and regulatory focus, leading to notable disparities in students’ access to policy guidance and technical support (Li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2025b; Wang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2024).</w:t>
      </w:r>
    </w:p>
    <w:p w14:paraId="3F5EF28E" w14:textId="77777777" w:rsidR="00DB7D67" w:rsidRDefault="00DB7D67">
      <w:pPr>
        <w:spacing w:after="0" w:line="480" w:lineRule="auto"/>
        <w:ind w:firstLine="720"/>
        <w:jc w:val="both"/>
        <w:rPr>
          <w:rFonts w:ascii="Times New Roman" w:eastAsia="Times New Roman" w:hAnsi="Times New Roman" w:cs="Times New Roman"/>
          <w:color w:val="000000" w:themeColor="text1"/>
        </w:rPr>
      </w:pPr>
      <w:r w:rsidRPr="00DB7D67">
        <w:rPr>
          <w:rFonts w:ascii="Times New Roman" w:eastAsia="Times New Roman" w:hAnsi="Times New Roman" w:cs="Times New Roman"/>
          <w:color w:val="000000" w:themeColor="text1"/>
        </w:rPr>
        <w:t>The development of mainstream generative AI models remains predominantly English-centric and often reflects Western cultural norms (Bender et al. 2021; Liu et al. 2025a; Zhong et al. 2024; Zhong et al. 2025). This linguistic and cultural bias poses challenges for students in non-</w:t>
      </w:r>
      <w:r w:rsidRPr="00DB7D67">
        <w:rPr>
          <w:rFonts w:ascii="Times New Roman" w:eastAsia="Times New Roman" w:hAnsi="Times New Roman" w:cs="Times New Roman"/>
          <w:color w:val="000000" w:themeColor="text1"/>
        </w:rPr>
        <w:lastRenderedPageBreak/>
        <w:t>English-speaking contexts, particularly for users of low-resource languages who encounter diminished model performance due to insufficient training data (Kobayashi et al. 2025; Sun et al. 2024). For example, languages spoken across regions such as Southeast Asia and Africa continue to demonstrate weaker performance in existing models, thereby reinforcing digital linguistic inequalities (Aji et al. 2023; Kshetri 2024). Moreover, global economic disparities contribute to an AI digital divide, wherein students in developed countries have greater access to premium generative AI tools (e.g., ChatGPT Plus, Claude Pro), while those in developing or less affluent regions face challenges related to accessibility, infrastructure, and educational support (Arora et al. 2023; Miao and Holms 2023).</w:t>
      </w:r>
    </w:p>
    <w:p w14:paraId="388C0BF3" w14:textId="77777777" w:rsidR="00DB7D67" w:rsidRDefault="00DB7D67">
      <w:pPr>
        <w:spacing w:after="0" w:line="480" w:lineRule="auto"/>
        <w:ind w:firstLine="720"/>
        <w:jc w:val="both"/>
        <w:rPr>
          <w:rFonts w:ascii="Times New Roman" w:eastAsia="Times New Roman" w:hAnsi="Times New Roman" w:cs="Times New Roman"/>
          <w:color w:val="000000" w:themeColor="text1"/>
        </w:rPr>
      </w:pPr>
      <w:r w:rsidRPr="00DB7D67">
        <w:rPr>
          <w:rFonts w:ascii="Times New Roman" w:eastAsia="Times New Roman" w:hAnsi="Times New Roman" w:cs="Times New Roman"/>
          <w:color w:val="000000" w:themeColor="text1"/>
        </w:rPr>
        <w:t>Access to generative AI is complicated by varying national regulations. In countries such as China, Russia, Iran, and North Korea, varying degrees of restrictions on tools like ChatGPT limit students’ access to internationally developed platforms (OpenAI n.d.). Meanwhile, the global generative AI landscape remains dominated by the United States (Brookings Institution 2023), prompting many countries to develop domestic alternatives. China stands out in this regard, as policy restrictions on global AI tools s</w:t>
      </w:r>
      <w:r w:rsidRPr="00DB7D67">
        <w:rPr>
          <w:rFonts w:ascii="Times New Roman" w:eastAsia="Times New Roman" w:hAnsi="Times New Roman" w:cs="Times New Roman" w:hint="eastAsia"/>
          <w:color w:val="000000" w:themeColor="text1"/>
        </w:rPr>
        <w:t>uch as ChatGPT, Claude, and Gemini have accelerated the growth of local models (Smith 2025), including Kimi Chat (</w:t>
      </w:r>
      <w:r w:rsidRPr="00DB7D67">
        <w:rPr>
          <w:rFonts w:ascii="SimSun" w:hAnsi="SimSun" w:cs="SimSun" w:hint="eastAsia"/>
          <w:color w:val="000000" w:themeColor="text1"/>
        </w:rPr>
        <w:t>月之暗面</w:t>
      </w:r>
      <w:r w:rsidRPr="00DB7D67">
        <w:rPr>
          <w:rFonts w:ascii="Times New Roman" w:eastAsia="Times New Roman" w:hAnsi="Times New Roman" w:cs="Times New Roman" w:hint="eastAsia"/>
          <w:color w:val="000000" w:themeColor="text1"/>
        </w:rPr>
        <w:t xml:space="preserve">), </w:t>
      </w:r>
      <w:proofErr w:type="spellStart"/>
      <w:r w:rsidRPr="00DB7D67">
        <w:rPr>
          <w:rFonts w:ascii="Times New Roman" w:eastAsia="Times New Roman" w:hAnsi="Times New Roman" w:cs="Times New Roman" w:hint="eastAsia"/>
          <w:color w:val="000000" w:themeColor="text1"/>
        </w:rPr>
        <w:t>ChatGLM</w:t>
      </w:r>
      <w:proofErr w:type="spellEnd"/>
      <w:r w:rsidRPr="00DB7D67">
        <w:rPr>
          <w:rFonts w:ascii="Times New Roman" w:eastAsia="Times New Roman" w:hAnsi="Times New Roman" w:cs="Times New Roman" w:hint="eastAsia"/>
          <w:color w:val="000000" w:themeColor="text1"/>
        </w:rPr>
        <w:t xml:space="preserve"> (</w:t>
      </w:r>
      <w:r w:rsidRPr="00DB7D67">
        <w:rPr>
          <w:rFonts w:ascii="SimSun" w:hAnsi="SimSun" w:cs="SimSun" w:hint="eastAsia"/>
          <w:color w:val="000000" w:themeColor="text1"/>
        </w:rPr>
        <w:t>智谱清言</w:t>
      </w:r>
      <w:r w:rsidRPr="00DB7D67">
        <w:rPr>
          <w:rFonts w:ascii="Times New Roman" w:eastAsia="Times New Roman" w:hAnsi="Times New Roman" w:cs="Times New Roman" w:hint="eastAsia"/>
          <w:color w:val="000000" w:themeColor="text1"/>
        </w:rPr>
        <w:t xml:space="preserve">), </w:t>
      </w:r>
      <w:proofErr w:type="spellStart"/>
      <w:r w:rsidRPr="00DB7D67">
        <w:rPr>
          <w:rFonts w:ascii="Times New Roman" w:eastAsia="Times New Roman" w:hAnsi="Times New Roman" w:cs="Times New Roman" w:hint="eastAsia"/>
          <w:color w:val="000000" w:themeColor="text1"/>
        </w:rPr>
        <w:t>Doubao</w:t>
      </w:r>
      <w:proofErr w:type="spellEnd"/>
      <w:r w:rsidRPr="00DB7D67">
        <w:rPr>
          <w:rFonts w:ascii="Times New Roman" w:eastAsia="Times New Roman" w:hAnsi="Times New Roman" w:cs="Times New Roman" w:hint="eastAsia"/>
          <w:color w:val="000000" w:themeColor="text1"/>
        </w:rPr>
        <w:t xml:space="preserve"> (</w:t>
      </w:r>
      <w:r w:rsidRPr="00DB7D67">
        <w:rPr>
          <w:rFonts w:ascii="SimSun" w:hAnsi="SimSun" w:cs="SimSun" w:hint="eastAsia"/>
          <w:color w:val="000000" w:themeColor="text1"/>
        </w:rPr>
        <w:t>豆包</w:t>
      </w:r>
      <w:r w:rsidRPr="00DB7D67">
        <w:rPr>
          <w:rFonts w:ascii="Times New Roman" w:eastAsia="Times New Roman" w:hAnsi="Times New Roman" w:cs="Times New Roman" w:hint="eastAsia"/>
          <w:color w:val="000000" w:themeColor="text1"/>
        </w:rPr>
        <w:t>), Wenxin Yiyan (</w:t>
      </w:r>
      <w:r w:rsidRPr="00DB7D67">
        <w:rPr>
          <w:rFonts w:ascii="SimSun" w:hAnsi="SimSun" w:cs="SimSun" w:hint="eastAsia"/>
          <w:color w:val="000000" w:themeColor="text1"/>
        </w:rPr>
        <w:t>文心一言</w:t>
      </w:r>
      <w:r w:rsidRPr="00DB7D67">
        <w:rPr>
          <w:rFonts w:ascii="Times New Roman" w:eastAsia="Times New Roman" w:hAnsi="Times New Roman" w:cs="Times New Roman" w:hint="eastAsia"/>
          <w:color w:val="000000" w:themeColor="text1"/>
        </w:rPr>
        <w:t>), and Qwen (</w:t>
      </w:r>
      <w:r w:rsidRPr="00DB7D67">
        <w:rPr>
          <w:rFonts w:ascii="SimSun" w:hAnsi="SimSun" w:cs="SimSun" w:hint="eastAsia"/>
          <w:color w:val="000000" w:themeColor="text1"/>
        </w:rPr>
        <w:t>通义千问</w:t>
      </w:r>
      <w:r w:rsidRPr="00DB7D67">
        <w:rPr>
          <w:rFonts w:ascii="Times New Roman" w:eastAsia="Times New Roman" w:hAnsi="Times New Roman" w:cs="Times New Roman" w:hint="eastAsia"/>
          <w:color w:val="000000" w:themeColor="text1"/>
        </w:rPr>
        <w:t>). These domestic generative AI tools are evolving quickly, with advanc</w:t>
      </w:r>
      <w:r w:rsidRPr="00DB7D67">
        <w:rPr>
          <w:rFonts w:ascii="Times New Roman" w:eastAsia="Times New Roman" w:hAnsi="Times New Roman" w:cs="Times New Roman"/>
          <w:color w:val="000000" w:themeColor="text1"/>
        </w:rPr>
        <w:t>es in Chinese language processing capabilities, industry applications, and user experience, offering viable generative AI options for Chinese students in their daily learning and research.</w:t>
      </w:r>
    </w:p>
    <w:p w14:paraId="6FB3455D"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Against this unique and evolving digital landscape, this study aims to explore: </w:t>
      </w:r>
    </w:p>
    <w:p w14:paraId="4B78E3B1"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RQ1: How do accessibility and cost influence Chinese university students’ choices and adoption of global versus domestic generative AI tools?</w:t>
      </w:r>
    </w:p>
    <w:p w14:paraId="77C3CE25"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lastRenderedPageBreak/>
        <w:t>RQ2: How do language proficiency and disciplinary background affect Chinese university students’ patterns of use of global and domestic generative AI tools?</w:t>
      </w:r>
    </w:p>
    <w:p w14:paraId="2DC86145"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RQ3: How do Chinese university students negotiate their engagement with global and domestic generative AI tools within Chinese cultural and ideological contexts?</w:t>
      </w:r>
    </w:p>
    <w:p w14:paraId="7B486942"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23FAF6F9" w14:textId="77777777" w:rsidR="00932484" w:rsidRPr="00AF30A8" w:rsidRDefault="00932484">
      <w:pPr>
        <w:spacing w:after="0" w:line="240" w:lineRule="auto"/>
        <w:rPr>
          <w:rFonts w:ascii="Times New Roman" w:eastAsia="Times New Roman" w:hAnsi="Times New Roman" w:cs="Times New Roman"/>
          <w:color w:val="000000" w:themeColor="text1"/>
        </w:rPr>
      </w:pPr>
    </w:p>
    <w:p w14:paraId="6DE17ACE" w14:textId="77777777" w:rsidR="00932484" w:rsidRPr="00AF30A8" w:rsidRDefault="00000000">
      <w:pPr>
        <w:spacing w:after="0" w:line="480" w:lineRule="auto"/>
        <w:jc w:val="center"/>
        <w:rPr>
          <w:rFonts w:ascii="Times New Roman" w:eastAsia="Times New Roman" w:hAnsi="Times New Roman" w:cs="Times New Roman"/>
          <w:color w:val="000000" w:themeColor="text1"/>
        </w:rPr>
      </w:pPr>
      <w:r w:rsidRPr="00AF30A8">
        <w:rPr>
          <w:rFonts w:ascii="Times New Roman" w:eastAsia="Times New Roman" w:hAnsi="Times New Roman" w:cs="Times New Roman"/>
          <w:b/>
          <w:color w:val="000000" w:themeColor="text1"/>
        </w:rPr>
        <w:t>Literature review</w:t>
      </w:r>
    </w:p>
    <w:p w14:paraId="7E31348E" w14:textId="77777777" w:rsidR="00932484" w:rsidRPr="00AF30A8" w:rsidRDefault="00000000">
      <w:pPr>
        <w:spacing w:after="0" w:line="480" w:lineRule="auto"/>
        <w:rPr>
          <w:rFonts w:ascii="Times New Roman" w:eastAsia="Times New Roman" w:hAnsi="Times New Roman" w:cs="Times New Roman"/>
          <w:color w:val="000000" w:themeColor="text1"/>
        </w:rPr>
      </w:pPr>
      <w:r w:rsidRPr="00AF30A8">
        <w:rPr>
          <w:rFonts w:ascii="Times New Roman" w:eastAsia="Times New Roman" w:hAnsi="Times New Roman" w:cs="Times New Roman"/>
          <w:b/>
          <w:color w:val="000000" w:themeColor="text1"/>
        </w:rPr>
        <w:t>The Technical Overview of Global Generative AI and Domestic Generative AI</w:t>
      </w:r>
    </w:p>
    <w:p w14:paraId="40BA383A" w14:textId="77777777" w:rsidR="00DB7D67" w:rsidRDefault="00DB7D67">
      <w:pPr>
        <w:spacing w:after="0" w:line="480" w:lineRule="auto"/>
        <w:ind w:firstLine="720"/>
        <w:jc w:val="both"/>
        <w:rPr>
          <w:rFonts w:ascii="Times New Roman" w:eastAsia="Times New Roman" w:hAnsi="Times New Roman" w:cs="Times New Roman"/>
          <w:color w:val="000000" w:themeColor="text1"/>
        </w:rPr>
      </w:pPr>
      <w:r w:rsidRPr="00DB7D67">
        <w:rPr>
          <w:rFonts w:ascii="Times New Roman" w:eastAsia="Times New Roman" w:hAnsi="Times New Roman" w:cs="Times New Roman"/>
          <w:color w:val="000000" w:themeColor="text1"/>
        </w:rPr>
        <w:t>Since OpenAI’s launch of ChatGPT in late 2022, generative AI has drawn global attention for its ability to produce high-quality outputs that assist humans across diverse tasks (Brown et al. 2020). Yet, China’s development of generative AI sits in a paradox amid U.S.–China geopolitical tensions. The Chinese government has banned global AI tools such as Gemini, Claude, and Copilot (Cyberspace Administration of China 2023), creating a domestic demand gap that was soon filled by local alternatives. However, Chinese technology companies face obstacles. U.S. export controls restrict access to high-end NVIDIA chips (Feng 2025), and domestic substitutes lag behind NVIDIA’s mature Compute Unified Device Architecture (CUDA) ecosystem. As a result, companies have focused on small- and mid-scale models like Alibaba’s Qwen series. By late 2024, this landscape began to shift. Efficiency-oriented methods such as the Mixture of Experts (Jiang et al. 2023) reduced dependence on computational power, and DeepSeek exemplifies this shift, achieving ChatGPT-level performance under limited computing resources through optimized efficiency-driven techniques (Guo et al. 2025; Liu et al. 2024).</w:t>
      </w:r>
    </w:p>
    <w:p w14:paraId="430BE0A9" w14:textId="77777777" w:rsidR="00932484" w:rsidRPr="00AF30A8" w:rsidRDefault="00000000">
      <w:pPr>
        <w:spacing w:after="0" w:line="480" w:lineRule="auto"/>
        <w:ind w:firstLine="720"/>
        <w:jc w:val="both"/>
        <w:rPr>
          <w:rFonts w:ascii="MS Mincho" w:eastAsia="MS Mincho" w:hAnsi="MS Mincho" w:cs="MS Mincho"/>
          <w:color w:val="000000" w:themeColor="text1"/>
        </w:rPr>
      </w:pPr>
      <w:r w:rsidRPr="00AF30A8">
        <w:rPr>
          <w:rFonts w:ascii="Times New Roman" w:eastAsia="Times New Roman" w:hAnsi="Times New Roman" w:cs="Times New Roman"/>
          <w:color w:val="000000" w:themeColor="text1"/>
        </w:rPr>
        <w:t xml:space="preserve">In this study, global generative AI tools refer to systems developed by leading international technology companies, characterized by globally oriented architectures, extensive user bases, and international influence. OpenAI’s ChatGPT exemplifies this category. It is trained on diverse </w:t>
      </w:r>
      <w:r w:rsidRPr="00AF30A8">
        <w:rPr>
          <w:rFonts w:ascii="Times New Roman" w:eastAsia="Times New Roman" w:hAnsi="Times New Roman" w:cs="Times New Roman"/>
          <w:color w:val="000000" w:themeColor="text1"/>
        </w:rPr>
        <w:lastRenderedPageBreak/>
        <w:t xml:space="preserve">datasets, designed for global markets, and primarily English-based, representing the frontier of global AI development. Domestic generative AI tools, by contrast, are developed by Chinese companies to serve local users. Examples include DeepSeek, </w:t>
      </w:r>
      <w:proofErr w:type="spellStart"/>
      <w:r w:rsidRPr="00AF30A8">
        <w:rPr>
          <w:rFonts w:ascii="Times New Roman" w:eastAsia="Times New Roman" w:hAnsi="Times New Roman" w:cs="Times New Roman"/>
          <w:color w:val="000000" w:themeColor="text1"/>
        </w:rPr>
        <w:t>Doubao</w:t>
      </w:r>
      <w:proofErr w:type="spellEnd"/>
      <w:r w:rsidRPr="00AF30A8">
        <w:rPr>
          <w:rFonts w:ascii="Times New Roman" w:eastAsia="Times New Roman" w:hAnsi="Times New Roman" w:cs="Times New Roman"/>
          <w:color w:val="000000" w:themeColor="text1"/>
        </w:rPr>
        <w:t>, and Qwen, which are optimized for Chinese contexts through localized data, advanced Chinese language processing, and compliance with domestic regulations. We selected three global models (GPT-4o, Claude-3.5, Gemini-Exp) and three Chinese models (DeepSeek-v3, Doubao-1.5-Pro, Qwen2.5) for comparison based on performance, release date, and transparency, in order to provide a technological background for interpreting students’ interview data and deepening subsequent analysis.</w:t>
      </w:r>
    </w:p>
    <w:p w14:paraId="39B69A32" w14:textId="77777777" w:rsidR="00DB7D67" w:rsidRDefault="00DB7D67">
      <w:pPr>
        <w:spacing w:after="0" w:line="480" w:lineRule="auto"/>
        <w:ind w:firstLine="720"/>
        <w:jc w:val="both"/>
        <w:rPr>
          <w:rFonts w:ascii="Times New Roman" w:eastAsia="Times New Roman" w:hAnsi="Times New Roman" w:cs="Times New Roman"/>
          <w:color w:val="000000" w:themeColor="text1"/>
        </w:rPr>
      </w:pPr>
      <w:r w:rsidRPr="00DB7D67">
        <w:rPr>
          <w:rFonts w:ascii="Times New Roman" w:eastAsia="Times New Roman" w:hAnsi="Times New Roman" w:cs="Times New Roman"/>
          <w:color w:val="000000" w:themeColor="text1"/>
        </w:rPr>
        <w:t xml:space="preserve">Generative AI’s broad problem-solving abilities make comprehensive evaluation challenging, as existing benchmarks often capture only specific aspects. In recent years, the AI community has developed more rigorous, multidimensional evaluations (Chang et al. 2024). Among these, Massive Multitask Language Understanding (MMLU) assesses English proficiency across 57 subjects in Science, Technology, Engineering and Mathematics (STEM), Humanities, and Social Sciences (Hendrycks et al. 2020), while C-Eval serves as its Chinese counterpart (Huang et al. 2023). Beyond language, benchmarks targeting math (Math), reasoning (Big-Bench Hard: BBH), and coding (Mostly Basic Programming Problems Plus: MBPP+) have been introduced to measure higher-order problem-solving capabilities (Austin et al. 2021; Hendrycks et al. 2021; </w:t>
      </w:r>
      <w:proofErr w:type="spellStart"/>
      <w:r w:rsidRPr="00DB7D67">
        <w:rPr>
          <w:rFonts w:ascii="Times New Roman" w:eastAsia="Times New Roman" w:hAnsi="Times New Roman" w:cs="Times New Roman"/>
          <w:color w:val="000000" w:themeColor="text1"/>
        </w:rPr>
        <w:t>Suzgun</w:t>
      </w:r>
      <w:proofErr w:type="spellEnd"/>
      <w:r w:rsidRPr="00DB7D67">
        <w:rPr>
          <w:rFonts w:ascii="Times New Roman" w:eastAsia="Times New Roman" w:hAnsi="Times New Roman" w:cs="Times New Roman"/>
          <w:color w:val="000000" w:themeColor="text1"/>
        </w:rPr>
        <w:t xml:space="preserve"> et al. 2022).</w:t>
      </w:r>
    </w:p>
    <w:p w14:paraId="2D465219" w14:textId="5653AF70" w:rsidR="00932484" w:rsidRPr="00AF30A8" w:rsidRDefault="00DB7D67">
      <w:pPr>
        <w:spacing w:after="0" w:line="480" w:lineRule="auto"/>
        <w:ind w:firstLine="720"/>
        <w:jc w:val="both"/>
        <w:rPr>
          <w:rFonts w:ascii="Times New Roman" w:eastAsia="Times New Roman" w:hAnsi="Times New Roman" w:cs="Times New Roman"/>
          <w:color w:val="000000" w:themeColor="text1"/>
        </w:rPr>
      </w:pPr>
      <w:r w:rsidRPr="00DB7D67">
        <w:rPr>
          <w:rFonts w:ascii="Times New Roman" w:eastAsia="Times New Roman" w:hAnsi="Times New Roman" w:cs="Times New Roman"/>
          <w:color w:val="000000" w:themeColor="text1"/>
        </w:rPr>
        <w:t xml:space="preserve">This study compares global and domestic generative AI models across five dimensions—English, Chinese, math, reasoning, and coding. Results indicate (1) comparable English proficiency; (2) stronger Chinese performance among domestic models; (3) similar reasoning and coding abilities; and (4) notable improvements in mathematical reasoning in newer models such </w:t>
      </w:r>
      <w:r w:rsidRPr="00DB7D67">
        <w:rPr>
          <w:rFonts w:ascii="Times New Roman" w:eastAsia="Times New Roman" w:hAnsi="Times New Roman" w:cs="Times New Roman"/>
          <w:color w:val="000000" w:themeColor="text1"/>
        </w:rPr>
        <w:lastRenderedPageBreak/>
        <w:t xml:space="preserve">as Gemini-Exp, DeepSeek-v3, and Doubao-1.5-Pro. Overall, global and domestic models now demonstrate converging performance, reflecting rapid advancement by both </w:t>
      </w:r>
      <w:r w:rsidR="00B64D0F">
        <w:rPr>
          <w:rFonts w:ascii="Times New Roman" w:eastAsia="Times New Roman" w:hAnsi="Times New Roman" w:cs="Times New Roman" w:hint="eastAsia"/>
          <w:color w:val="000000" w:themeColor="text1"/>
        </w:rPr>
        <w:t xml:space="preserve">the </w:t>
      </w:r>
      <w:r w:rsidRPr="00DB7D67">
        <w:rPr>
          <w:rFonts w:ascii="Times New Roman" w:eastAsia="Times New Roman" w:hAnsi="Times New Roman" w:cs="Times New Roman"/>
          <w:color w:val="000000" w:themeColor="text1"/>
        </w:rPr>
        <w:t>U.S. and Chinese research communities (ACL Rolling Review Statistics 2025).</w:t>
      </w:r>
    </w:p>
    <w:p w14:paraId="7DC84C11" w14:textId="77777777" w:rsidR="00932484" w:rsidRPr="00DB7D67" w:rsidRDefault="00932484">
      <w:pPr>
        <w:spacing w:after="0" w:line="240" w:lineRule="auto"/>
        <w:rPr>
          <w:rFonts w:ascii="Times New Roman" w:eastAsia="Times New Roman" w:hAnsi="Times New Roman" w:cs="Times New Roman"/>
          <w:color w:val="000000" w:themeColor="text1"/>
          <w:lang w:val="en-US"/>
        </w:rPr>
      </w:pPr>
    </w:p>
    <w:p w14:paraId="081B10DB" w14:textId="77777777" w:rsidR="00932484" w:rsidRPr="00AF30A8" w:rsidRDefault="00AF30A8" w:rsidP="00AF30A8">
      <w:pPr>
        <w:spacing w:after="0" w:line="480" w:lineRule="auto"/>
        <w:jc w:val="center"/>
        <w:rPr>
          <w:rFonts w:ascii="Times New Roman" w:eastAsia="Times New Roman" w:hAnsi="Times New Roman" w:cs="Times New Roman"/>
          <w:b/>
          <w:bCs/>
          <w:i/>
          <w:iCs/>
          <w:color w:val="000000" w:themeColor="text1"/>
        </w:rPr>
      </w:pPr>
      <w:r w:rsidRPr="00AF30A8">
        <w:rPr>
          <w:rFonts w:ascii="Times New Roman" w:eastAsia="Times New Roman" w:hAnsi="Times New Roman" w:cs="Times New Roman"/>
          <w:b/>
          <w:bCs/>
          <w:i/>
          <w:iCs/>
          <w:color w:val="000000" w:themeColor="text1"/>
        </w:rPr>
        <w:t>See Figure 1</w:t>
      </w:r>
    </w:p>
    <w:p w14:paraId="11624B99" w14:textId="77777777" w:rsidR="00AF30A8" w:rsidRPr="00AF30A8" w:rsidRDefault="00AF30A8">
      <w:pPr>
        <w:spacing w:after="0" w:line="480" w:lineRule="auto"/>
        <w:jc w:val="both"/>
        <w:rPr>
          <w:rFonts w:ascii="Times New Roman" w:eastAsia="Times New Roman" w:hAnsi="Times New Roman" w:cs="Times New Roman"/>
          <w:color w:val="000000" w:themeColor="text1"/>
        </w:rPr>
      </w:pPr>
    </w:p>
    <w:p w14:paraId="02FADC3E" w14:textId="77777777" w:rsidR="00932484" w:rsidRPr="00AF30A8" w:rsidRDefault="00000000">
      <w:pPr>
        <w:spacing w:after="0" w:line="480" w:lineRule="auto"/>
        <w:jc w:val="both"/>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The Adoption of Generative AI in Higher Education</w:t>
      </w:r>
    </w:p>
    <w:p w14:paraId="6CDFD7B7" w14:textId="77777777" w:rsidR="00DB7D67" w:rsidRDefault="00DB7D67">
      <w:pPr>
        <w:spacing w:after="0" w:line="480" w:lineRule="auto"/>
        <w:ind w:firstLine="720"/>
        <w:jc w:val="both"/>
        <w:rPr>
          <w:rFonts w:ascii="Times New Roman" w:eastAsia="Times New Roman" w:hAnsi="Times New Roman" w:cs="Times New Roman"/>
          <w:color w:val="000000" w:themeColor="text1"/>
        </w:rPr>
      </w:pPr>
      <w:r w:rsidRPr="00DB7D67">
        <w:rPr>
          <w:rFonts w:ascii="Times New Roman" w:eastAsia="Times New Roman" w:hAnsi="Times New Roman" w:cs="Times New Roman"/>
          <w:color w:val="000000" w:themeColor="text1"/>
        </w:rPr>
        <w:t>The rapid spread of generative AI tools has transformed higher education, prompting growing research on how students and educators perceive and adopt these technologies. Most existing studies draw on technology acceptance models (e.g., Technology Acceptance Model (TAM); Theory of Planned Behavior (TPB); Unified Theory of Acceptance and Use of Technology (UTAUT &amp; UTAUT2)</w:t>
      </w:r>
      <w:r>
        <w:rPr>
          <w:rFonts w:ascii="Times New Roman" w:eastAsia="Times New Roman" w:hAnsi="Times New Roman" w:cs="Times New Roman"/>
          <w:color w:val="000000" w:themeColor="text1"/>
        </w:rPr>
        <w:t xml:space="preserve"> </w:t>
      </w:r>
      <w:r w:rsidRPr="00DB7D67">
        <w:rPr>
          <w:rFonts w:ascii="Times New Roman" w:eastAsia="Times New Roman" w:hAnsi="Times New Roman" w:cs="Times New Roman"/>
          <w:color w:val="000000" w:themeColor="text1"/>
        </w:rPr>
        <w:t>to explain behavioral intentions. Ivanov (2024), conducting research in European universities, found that positive perceptions of generative AI benefits shape attitudes and drive actual use. Similarly, Bouteraa et al. (2024), examining students in the Association of Southeast Asian Nations (ASEAN) countries, combined UTAUT and Social Cognitive Theory, showing that performance expectancy, social influence, and self-efficacy predict use, while student integrity constrains it. In the Arab region, Ayyoub et al. (2025) extended UTAUT among Arab educators, confirming the strong effects of its core constructs and revealing gender and experience differences. Using data from Iraqi undergraduate students, Albayati (2025) applied TAM and emphasized privacy, trust, and security as critical external factors influencing ChatGPT acceptance.</w:t>
      </w:r>
    </w:p>
    <w:p w14:paraId="6263733A" w14:textId="77777777" w:rsidR="00DB7D67" w:rsidRDefault="00DB7D67">
      <w:pPr>
        <w:spacing w:after="0" w:line="480" w:lineRule="auto"/>
        <w:ind w:firstLine="720"/>
        <w:jc w:val="both"/>
        <w:rPr>
          <w:rFonts w:ascii="Times New Roman" w:eastAsia="Times New Roman" w:hAnsi="Times New Roman" w:cs="Times New Roman"/>
          <w:color w:val="000000" w:themeColor="text1"/>
        </w:rPr>
      </w:pPr>
      <w:r w:rsidRPr="00DB7D67">
        <w:rPr>
          <w:rFonts w:ascii="Times New Roman" w:eastAsia="Times New Roman" w:hAnsi="Times New Roman" w:cs="Times New Roman"/>
          <w:color w:val="000000" w:themeColor="text1"/>
        </w:rPr>
        <w:t xml:space="preserve">From students’ perspectives, attitudes toward generative AI are both enthusiastic and cautious. In Australia, Kelly et al. (2023) found that confidence grows with experience, while Abbas et al. (2024) showed that academic pressure increases ChatGPT usage but may harm </w:t>
      </w:r>
      <w:r w:rsidRPr="00DB7D67">
        <w:rPr>
          <w:rFonts w:ascii="Times New Roman" w:eastAsia="Times New Roman" w:hAnsi="Times New Roman" w:cs="Times New Roman"/>
          <w:color w:val="000000" w:themeColor="text1"/>
        </w:rPr>
        <w:lastRenderedPageBreak/>
        <w:t xml:space="preserve">learning outcomes, as seen in Pakistan. Johnston et al. (2024) reported that UK students support AI-assisted tools but oppose full essay generation, linking stronger writing confidence to lower reliance on AI. Liu and colleagues (2024, 2025) examined Chinese EFL (English as a Foreign Language) learners’ engagement with generative AI, showing that under restricted AI access and an exam-oriented culture, students rely on intrinsic motivation and personal goals to use generative AI as a substitute for authentic English environments while developing critical digital literacies. Similarly, </w:t>
      </w:r>
      <w:proofErr w:type="gramStart"/>
      <w:r w:rsidRPr="00DB7D67">
        <w:rPr>
          <w:rFonts w:ascii="Times New Roman" w:eastAsia="Times New Roman" w:hAnsi="Times New Roman" w:cs="Times New Roman"/>
          <w:color w:val="000000" w:themeColor="text1"/>
        </w:rPr>
        <w:t>Fan</w:t>
      </w:r>
      <w:proofErr w:type="gramEnd"/>
      <w:r w:rsidRPr="00DB7D67">
        <w:rPr>
          <w:rFonts w:ascii="Times New Roman" w:eastAsia="Times New Roman" w:hAnsi="Times New Roman" w:cs="Times New Roman"/>
          <w:color w:val="000000" w:themeColor="text1"/>
        </w:rPr>
        <w:t xml:space="preserve"> et al. (2025) explored Chinese engineering students’ attitudes toward generative AI, finding appreciation for its efficiency but skepticism about its accuracy.</w:t>
      </w:r>
    </w:p>
    <w:p w14:paraId="1C48707C" w14:textId="77777777" w:rsidR="00932484" w:rsidRPr="00AF30A8" w:rsidRDefault="00DB7D67">
      <w:pPr>
        <w:spacing w:after="0" w:line="480" w:lineRule="auto"/>
        <w:ind w:firstLine="720"/>
        <w:jc w:val="both"/>
        <w:rPr>
          <w:rFonts w:ascii="Times New Roman" w:eastAsia="Times New Roman" w:hAnsi="Times New Roman" w:cs="Times New Roman"/>
          <w:color w:val="000000" w:themeColor="text1"/>
        </w:rPr>
      </w:pPr>
      <w:r w:rsidRPr="00DB7D67">
        <w:rPr>
          <w:rFonts w:ascii="Times New Roman" w:eastAsia="Times New Roman" w:hAnsi="Times New Roman" w:cs="Times New Roman"/>
          <w:color w:val="000000" w:themeColor="text1"/>
        </w:rPr>
        <w:t>Educator-focused research highlights similar ambivalence. In Palestine’s higher education system</w:t>
      </w:r>
      <w:r>
        <w:rPr>
          <w:rFonts w:ascii="Times New Roman" w:eastAsia="Times New Roman" w:hAnsi="Times New Roman" w:cs="Times New Roman"/>
          <w:color w:val="000000" w:themeColor="text1"/>
        </w:rPr>
        <w:t xml:space="preserve">, </w:t>
      </w:r>
      <w:r w:rsidRPr="00DB7D67">
        <w:rPr>
          <w:rFonts w:ascii="Times New Roman" w:eastAsia="Times New Roman" w:hAnsi="Times New Roman" w:cs="Times New Roman"/>
          <w:color w:val="000000" w:themeColor="text1"/>
        </w:rPr>
        <w:t>shaped by political instability, limited resources, and digital inequality</w:t>
      </w:r>
      <w:r>
        <w:rPr>
          <w:rFonts w:ascii="Times New Roman" w:eastAsia="Times New Roman" w:hAnsi="Times New Roman" w:cs="Times New Roman"/>
          <w:color w:val="000000" w:themeColor="text1"/>
        </w:rPr>
        <w:t xml:space="preserve">, </w:t>
      </w:r>
      <w:r w:rsidRPr="00DB7D67">
        <w:rPr>
          <w:rFonts w:ascii="Times New Roman" w:eastAsia="Times New Roman" w:hAnsi="Times New Roman" w:cs="Times New Roman"/>
          <w:color w:val="000000" w:themeColor="text1"/>
        </w:rPr>
        <w:t xml:space="preserve">educators’ engagement with generative AI reflects both optimism and strain. </w:t>
      </w:r>
      <w:proofErr w:type="spellStart"/>
      <w:r w:rsidRPr="00DB7D67">
        <w:rPr>
          <w:rFonts w:ascii="Times New Roman" w:eastAsia="Times New Roman" w:hAnsi="Times New Roman" w:cs="Times New Roman"/>
          <w:color w:val="000000" w:themeColor="text1"/>
        </w:rPr>
        <w:t>Hamamra</w:t>
      </w:r>
      <w:proofErr w:type="spellEnd"/>
      <w:r w:rsidRPr="00DB7D67">
        <w:rPr>
          <w:rFonts w:ascii="Times New Roman" w:eastAsia="Times New Roman" w:hAnsi="Times New Roman" w:cs="Times New Roman"/>
          <w:color w:val="000000" w:themeColor="text1"/>
        </w:rPr>
        <w:t xml:space="preserve"> et al. (2025) highlighted instructors’ cautious enthusiasm for generative AI’s pedagogical potential amid infrastructural and ethical challenges, while Khlaif et al. (2025) revealed that these same contextual constraints contribute to educators’ technostress and limited institutional support.</w:t>
      </w:r>
      <w:r w:rsidRPr="00AF30A8">
        <w:rPr>
          <w:rFonts w:ascii="Times New Roman" w:eastAsia="Times New Roman" w:hAnsi="Times New Roman" w:cs="Times New Roman"/>
          <w:color w:val="000000" w:themeColor="text1"/>
        </w:rPr>
        <w:t xml:space="preserve"> </w:t>
      </w:r>
    </w:p>
    <w:p w14:paraId="220FF48E"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Overall, prior research has advanced the understanding of generative AI adoption among students, yet several important limitations remain. First, although existing studies draw data from multiple countries, most interpret findings primarily through a technological lens and overlook national, cultural, and policy-specific characteristics that shape user behavior. Second, quantitative approaches dominate the field, offering statistical generalizations but failing to capture </w:t>
      </w:r>
      <w:proofErr w:type="gramStart"/>
      <w:r w:rsidRPr="00AF30A8">
        <w:rPr>
          <w:rFonts w:ascii="Times New Roman" w:eastAsia="Times New Roman" w:hAnsi="Times New Roman" w:cs="Times New Roman"/>
          <w:color w:val="000000" w:themeColor="text1"/>
        </w:rPr>
        <w:t>students’</w:t>
      </w:r>
      <w:proofErr w:type="gramEnd"/>
      <w:r w:rsidRPr="00AF30A8">
        <w:rPr>
          <w:rFonts w:ascii="Times New Roman" w:eastAsia="Times New Roman" w:hAnsi="Times New Roman" w:cs="Times New Roman"/>
          <w:color w:val="000000" w:themeColor="text1"/>
        </w:rPr>
        <w:t xml:space="preserve"> lived experiences, attitudes, and adaptive strategies toward generative AI in depth. Third, few studies have addressed issues of unequal access to AI technologies or examined how cultural and regulatory contexts influence adoption and learning practices in higher education.</w:t>
      </w:r>
    </w:p>
    <w:p w14:paraId="5925A534"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lastRenderedPageBreak/>
        <w:t>Grounded in the UTAUT2 framework, this study addresses these gaps by exploring how Chinese university students navigate global and domestic generative AI tools under such sociopolitical and cultural conditions. By highlighting the contextual dimensions of technology adoption, it contributes to a more inclusive and contextually grounded understanding of generative AI integration in higher education.</w:t>
      </w:r>
    </w:p>
    <w:p w14:paraId="143FAFE2" w14:textId="77777777" w:rsidR="00932484" w:rsidRPr="00AF30A8" w:rsidRDefault="00932484">
      <w:pPr>
        <w:spacing w:after="0" w:line="240" w:lineRule="auto"/>
        <w:rPr>
          <w:rFonts w:ascii="Times New Roman" w:eastAsia="Times New Roman" w:hAnsi="Times New Roman" w:cs="Times New Roman"/>
          <w:color w:val="000000" w:themeColor="text1"/>
        </w:rPr>
      </w:pPr>
    </w:p>
    <w:p w14:paraId="6A4B2B78" w14:textId="77777777" w:rsidR="00932484" w:rsidRPr="00AF30A8" w:rsidRDefault="00932484">
      <w:pPr>
        <w:spacing w:after="0" w:line="240" w:lineRule="auto"/>
        <w:rPr>
          <w:rFonts w:ascii="Times New Roman" w:eastAsia="Times New Roman" w:hAnsi="Times New Roman" w:cs="Times New Roman"/>
          <w:color w:val="000000" w:themeColor="text1"/>
        </w:rPr>
      </w:pPr>
    </w:p>
    <w:p w14:paraId="60CF878A" w14:textId="77777777" w:rsidR="00932484" w:rsidRPr="00AF30A8" w:rsidRDefault="00000000">
      <w:pPr>
        <w:spacing w:after="0" w:line="480" w:lineRule="auto"/>
        <w:jc w:val="center"/>
        <w:rPr>
          <w:rFonts w:ascii="Times New Roman" w:eastAsia="Times New Roman" w:hAnsi="Times New Roman" w:cs="Times New Roman"/>
          <w:b/>
          <w:color w:val="000000" w:themeColor="text1"/>
          <w:sz w:val="36"/>
          <w:szCs w:val="36"/>
        </w:rPr>
      </w:pPr>
      <w:r w:rsidRPr="00AF30A8">
        <w:rPr>
          <w:rFonts w:ascii="Times New Roman" w:eastAsia="Times New Roman" w:hAnsi="Times New Roman" w:cs="Times New Roman"/>
          <w:b/>
          <w:color w:val="000000" w:themeColor="text1"/>
        </w:rPr>
        <w:t>Theoretical Framework </w:t>
      </w:r>
    </w:p>
    <w:p w14:paraId="148F9705"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The Unified Theory of Acceptance and Use of Technology (UTAUT) and its extended model, UTAUT2 (Venkatesh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2003; Venkatesh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2012), provide the theoretical foundation for this study. UTAUT integrates eight earlier models of technology adoption, including the Technology Acceptance Model (Davis</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1989), Theory of Planned Behavior (Ajzen</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1991), and Social Cognitive Theory (Bandura</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1986), to explain individuals’ intentions and behaviors regarding technology use. The model identifies four primary determinants—</w:t>
      </w:r>
      <w:r w:rsidRPr="00AF30A8">
        <w:rPr>
          <w:rFonts w:ascii="Times New Roman" w:eastAsia="Times New Roman" w:hAnsi="Times New Roman" w:cs="Times New Roman"/>
          <w:i/>
          <w:color w:val="000000" w:themeColor="text1"/>
        </w:rPr>
        <w:t>Performance Expectancy, Effort Expectancy, Social Influence, and Facilitating Conditions</w:t>
      </w:r>
      <w:r w:rsidRPr="00AF30A8">
        <w:rPr>
          <w:rFonts w:ascii="Times New Roman" w:eastAsia="Times New Roman" w:hAnsi="Times New Roman" w:cs="Times New Roman"/>
          <w:color w:val="000000" w:themeColor="text1"/>
        </w:rPr>
        <w:t>—as well as key moderators such as</w:t>
      </w:r>
      <w:r w:rsidRPr="00AF30A8">
        <w:rPr>
          <w:rFonts w:ascii="Times New Roman" w:eastAsia="Times New Roman" w:hAnsi="Times New Roman" w:cs="Times New Roman"/>
          <w:i/>
          <w:color w:val="000000" w:themeColor="text1"/>
        </w:rPr>
        <w:t xml:space="preserve"> Gender, Age,</w:t>
      </w:r>
      <w:r w:rsidRPr="00AF30A8">
        <w:rPr>
          <w:rFonts w:ascii="Times New Roman" w:eastAsia="Times New Roman" w:hAnsi="Times New Roman" w:cs="Times New Roman"/>
          <w:color w:val="000000" w:themeColor="text1"/>
        </w:rPr>
        <w:t xml:space="preserve"> and </w:t>
      </w:r>
      <w:r w:rsidRPr="00AF30A8">
        <w:rPr>
          <w:rFonts w:ascii="Times New Roman" w:eastAsia="Times New Roman" w:hAnsi="Times New Roman" w:cs="Times New Roman"/>
          <w:i/>
          <w:color w:val="000000" w:themeColor="text1"/>
        </w:rPr>
        <w:t>Experience</w:t>
      </w:r>
      <w:r w:rsidRPr="00AF30A8">
        <w:rPr>
          <w:rFonts w:ascii="Times New Roman" w:eastAsia="Times New Roman" w:hAnsi="Times New Roman" w:cs="Times New Roman"/>
          <w:color w:val="000000" w:themeColor="text1"/>
        </w:rPr>
        <w:t xml:space="preserve"> (Venkatesh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2003).</w:t>
      </w:r>
    </w:p>
    <w:p w14:paraId="63A16525"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Recognizing technological advancements and shifts in user behavior, UTAUT2 expands the framework by adding </w:t>
      </w:r>
      <w:r w:rsidRPr="00AF30A8">
        <w:rPr>
          <w:rFonts w:ascii="Times New Roman" w:eastAsia="Times New Roman" w:hAnsi="Times New Roman" w:cs="Times New Roman"/>
          <w:i/>
          <w:color w:val="000000" w:themeColor="text1"/>
        </w:rPr>
        <w:t>Hedonic Motivation</w:t>
      </w:r>
      <w:r w:rsidRPr="00AF30A8">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i/>
          <w:color w:val="000000" w:themeColor="text1"/>
        </w:rPr>
        <w:t>Price Value</w:t>
      </w:r>
      <w:r w:rsidRPr="00AF30A8">
        <w:rPr>
          <w:rFonts w:ascii="Times New Roman" w:eastAsia="Times New Roman" w:hAnsi="Times New Roman" w:cs="Times New Roman"/>
          <w:color w:val="000000" w:themeColor="text1"/>
        </w:rPr>
        <w:t xml:space="preserve">, and </w:t>
      </w:r>
      <w:r w:rsidRPr="00AF30A8">
        <w:rPr>
          <w:rFonts w:ascii="Times New Roman" w:eastAsia="Times New Roman" w:hAnsi="Times New Roman" w:cs="Times New Roman"/>
          <w:i/>
          <w:color w:val="000000" w:themeColor="text1"/>
        </w:rPr>
        <w:t>Habit</w:t>
      </w:r>
      <w:r w:rsidRPr="00AF30A8">
        <w:rPr>
          <w:rFonts w:ascii="Times New Roman" w:eastAsia="Times New Roman" w:hAnsi="Times New Roman" w:cs="Times New Roman"/>
          <w:color w:val="000000" w:themeColor="text1"/>
        </w:rPr>
        <w:t>, emphasizing the personal and affective dimensions of technology adoption (Venkatesh et al. 2012). These models have since been applied across diverse educational and cultural contexts to study technology integration in learning and teaching (Abdalla</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2025; Zaim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2024; Zhang </w:t>
      </w:r>
      <w:r w:rsidR="00DB7D67">
        <w:rPr>
          <w:rFonts w:ascii="Times New Roman" w:eastAsia="Times New Roman" w:hAnsi="Times New Roman" w:cs="Times New Roman"/>
          <w:color w:val="000000" w:themeColor="text1"/>
        </w:rPr>
        <w:t>and</w:t>
      </w:r>
      <w:r w:rsidRPr="00AF30A8">
        <w:rPr>
          <w:rFonts w:ascii="Times New Roman" w:eastAsia="Times New Roman" w:hAnsi="Times New Roman" w:cs="Times New Roman"/>
          <w:color w:val="000000" w:themeColor="text1"/>
        </w:rPr>
        <w:t xml:space="preserve"> </w:t>
      </w:r>
      <w:proofErr w:type="spellStart"/>
      <w:r w:rsidRPr="00AF30A8">
        <w:rPr>
          <w:rFonts w:ascii="Times New Roman" w:eastAsia="Times New Roman" w:hAnsi="Times New Roman" w:cs="Times New Roman"/>
          <w:color w:val="000000" w:themeColor="text1"/>
        </w:rPr>
        <w:t>Wareewanich</w:t>
      </w:r>
      <w:proofErr w:type="spellEnd"/>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2024).</w:t>
      </w:r>
    </w:p>
    <w:p w14:paraId="41B21D79"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In this study, UTAUT2 is used to explore how undergraduate students engage with generative AI in higher education. </w:t>
      </w:r>
      <w:r w:rsidRPr="00AF30A8">
        <w:rPr>
          <w:rFonts w:ascii="Times New Roman" w:eastAsia="Times New Roman" w:hAnsi="Times New Roman" w:cs="Times New Roman"/>
          <w:i/>
          <w:color w:val="000000" w:themeColor="text1"/>
        </w:rPr>
        <w:t>Performance Expectancy</w:t>
      </w:r>
      <w:r w:rsidRPr="00AF30A8">
        <w:rPr>
          <w:rFonts w:ascii="Times New Roman" w:eastAsia="Times New Roman" w:hAnsi="Times New Roman" w:cs="Times New Roman"/>
          <w:color w:val="000000" w:themeColor="text1"/>
        </w:rPr>
        <w:t xml:space="preserve"> refers to students’ beliefs that generative AI enhances learning efficiency and academic performance. </w:t>
      </w:r>
      <w:r w:rsidRPr="00AF30A8">
        <w:rPr>
          <w:rFonts w:ascii="Times New Roman" w:eastAsia="Times New Roman" w:hAnsi="Times New Roman" w:cs="Times New Roman"/>
          <w:i/>
          <w:color w:val="000000" w:themeColor="text1"/>
        </w:rPr>
        <w:t>Effort Expectancy</w:t>
      </w:r>
      <w:r w:rsidRPr="00AF30A8">
        <w:rPr>
          <w:rFonts w:ascii="Times New Roman" w:eastAsia="Times New Roman" w:hAnsi="Times New Roman" w:cs="Times New Roman"/>
          <w:color w:val="000000" w:themeColor="text1"/>
        </w:rPr>
        <w:t xml:space="preserve"> captures </w:t>
      </w:r>
      <w:r w:rsidRPr="00AF30A8">
        <w:rPr>
          <w:rFonts w:ascii="Times New Roman" w:eastAsia="Times New Roman" w:hAnsi="Times New Roman" w:cs="Times New Roman"/>
          <w:color w:val="000000" w:themeColor="text1"/>
        </w:rPr>
        <w:lastRenderedPageBreak/>
        <w:t xml:space="preserve">their perceptions of ease of use and accessibility. </w:t>
      </w:r>
      <w:r w:rsidRPr="00AF30A8">
        <w:rPr>
          <w:rFonts w:ascii="Times New Roman" w:eastAsia="Times New Roman" w:hAnsi="Times New Roman" w:cs="Times New Roman"/>
          <w:i/>
          <w:color w:val="000000" w:themeColor="text1"/>
        </w:rPr>
        <w:t>Social Influence</w:t>
      </w:r>
      <w:r w:rsidRPr="00AF30A8">
        <w:rPr>
          <w:rFonts w:ascii="Times New Roman" w:eastAsia="Times New Roman" w:hAnsi="Times New Roman" w:cs="Times New Roman"/>
          <w:color w:val="000000" w:themeColor="text1"/>
        </w:rPr>
        <w:t xml:space="preserve"> reflects the impact of peers, instructors, and institutional norms, while </w:t>
      </w:r>
      <w:r w:rsidRPr="00AF30A8">
        <w:rPr>
          <w:rFonts w:ascii="Times New Roman" w:eastAsia="Times New Roman" w:hAnsi="Times New Roman" w:cs="Times New Roman"/>
          <w:i/>
          <w:color w:val="000000" w:themeColor="text1"/>
        </w:rPr>
        <w:t>Facilitating Conditions</w:t>
      </w:r>
      <w:r w:rsidRPr="00AF30A8">
        <w:rPr>
          <w:rFonts w:ascii="Times New Roman" w:eastAsia="Times New Roman" w:hAnsi="Times New Roman" w:cs="Times New Roman"/>
          <w:color w:val="000000" w:themeColor="text1"/>
        </w:rPr>
        <w:t xml:space="preserve"> relate to available technical support and resources. </w:t>
      </w:r>
      <w:r w:rsidRPr="00AF30A8">
        <w:rPr>
          <w:rFonts w:ascii="Times New Roman" w:eastAsia="Times New Roman" w:hAnsi="Times New Roman" w:cs="Times New Roman"/>
          <w:i/>
          <w:color w:val="000000" w:themeColor="text1"/>
        </w:rPr>
        <w:t>Hedonic Motivation</w:t>
      </w:r>
      <w:r w:rsidRPr="00AF30A8">
        <w:rPr>
          <w:rFonts w:ascii="Times New Roman" w:eastAsia="Times New Roman" w:hAnsi="Times New Roman" w:cs="Times New Roman"/>
          <w:color w:val="000000" w:themeColor="text1"/>
        </w:rPr>
        <w:t xml:space="preserve"> addresses students’ enjoyment in using generative AI tools, </w:t>
      </w:r>
      <w:r w:rsidRPr="00AF30A8">
        <w:rPr>
          <w:rFonts w:ascii="Times New Roman" w:eastAsia="Times New Roman" w:hAnsi="Times New Roman" w:cs="Times New Roman"/>
          <w:i/>
          <w:color w:val="000000" w:themeColor="text1"/>
        </w:rPr>
        <w:t>Price Value</w:t>
      </w:r>
      <w:r w:rsidRPr="00AF30A8">
        <w:rPr>
          <w:rFonts w:ascii="Times New Roman" w:eastAsia="Times New Roman" w:hAnsi="Times New Roman" w:cs="Times New Roman"/>
          <w:color w:val="000000" w:themeColor="text1"/>
        </w:rPr>
        <w:t xml:space="preserve"> concerns perceived benefits relative to costs, and </w:t>
      </w:r>
      <w:r w:rsidRPr="00AF30A8">
        <w:rPr>
          <w:rFonts w:ascii="Times New Roman" w:eastAsia="Times New Roman" w:hAnsi="Times New Roman" w:cs="Times New Roman"/>
          <w:i/>
          <w:color w:val="000000" w:themeColor="text1"/>
        </w:rPr>
        <w:t>Habit</w:t>
      </w:r>
      <w:r w:rsidRPr="00AF30A8">
        <w:rPr>
          <w:rFonts w:ascii="Times New Roman" w:eastAsia="Times New Roman" w:hAnsi="Times New Roman" w:cs="Times New Roman"/>
          <w:color w:val="000000" w:themeColor="text1"/>
        </w:rPr>
        <w:t xml:space="preserve"> reflects prior experience shaping continued use. Given the participants’ similar age group, this study focuses particularly on </w:t>
      </w:r>
      <w:r w:rsidRPr="00AF30A8">
        <w:rPr>
          <w:rFonts w:ascii="Times New Roman" w:eastAsia="Times New Roman" w:hAnsi="Times New Roman" w:cs="Times New Roman"/>
          <w:i/>
          <w:color w:val="000000" w:themeColor="text1"/>
        </w:rPr>
        <w:t>Gender</w:t>
      </w:r>
      <w:r w:rsidRPr="00AF30A8">
        <w:rPr>
          <w:rFonts w:ascii="Times New Roman" w:eastAsia="Times New Roman" w:hAnsi="Times New Roman" w:cs="Times New Roman"/>
          <w:color w:val="000000" w:themeColor="text1"/>
        </w:rPr>
        <w:t xml:space="preserve"> and </w:t>
      </w:r>
      <w:r w:rsidRPr="00AF30A8">
        <w:rPr>
          <w:rFonts w:ascii="Times New Roman" w:eastAsia="Times New Roman" w:hAnsi="Times New Roman" w:cs="Times New Roman"/>
          <w:i/>
          <w:color w:val="000000" w:themeColor="text1"/>
        </w:rPr>
        <w:t>Experience</w:t>
      </w:r>
      <w:r w:rsidRPr="00AF30A8">
        <w:rPr>
          <w:rFonts w:ascii="Times New Roman" w:eastAsia="Times New Roman" w:hAnsi="Times New Roman" w:cs="Times New Roman"/>
          <w:color w:val="000000" w:themeColor="text1"/>
        </w:rPr>
        <w:t xml:space="preserve"> as moderators. Together, these constructs provide a comprehensive lens for analyzing how policy, culture, and technology influence students’ acceptance and use of global and domestic generative AI tools.</w:t>
      </w:r>
    </w:p>
    <w:p w14:paraId="69218D69" w14:textId="77777777" w:rsidR="00932484" w:rsidRPr="00AF30A8" w:rsidRDefault="00932484">
      <w:pPr>
        <w:spacing w:after="0" w:line="480" w:lineRule="auto"/>
        <w:jc w:val="both"/>
        <w:rPr>
          <w:rFonts w:ascii="Times New Roman" w:eastAsia="Times New Roman" w:hAnsi="Times New Roman" w:cs="Times New Roman"/>
          <w:color w:val="000000" w:themeColor="text1"/>
        </w:rPr>
      </w:pPr>
    </w:p>
    <w:p w14:paraId="473AE8E9" w14:textId="77777777" w:rsidR="00932484" w:rsidRPr="00AF30A8"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Methodology</w:t>
      </w:r>
    </w:p>
    <w:p w14:paraId="3A05FE79" w14:textId="77777777" w:rsidR="00932484" w:rsidRPr="00AF30A8" w:rsidRDefault="00932484">
      <w:pPr>
        <w:pBdr>
          <w:top w:val="nil"/>
          <w:left w:val="nil"/>
          <w:bottom w:val="nil"/>
          <w:right w:val="nil"/>
          <w:between w:val="nil"/>
        </w:pBdr>
        <w:spacing w:after="0" w:line="240" w:lineRule="auto"/>
        <w:jc w:val="center"/>
        <w:rPr>
          <w:color w:val="000000" w:themeColor="text1"/>
          <w:sz w:val="36"/>
          <w:szCs w:val="36"/>
        </w:rPr>
      </w:pPr>
    </w:p>
    <w:p w14:paraId="13003AE8" w14:textId="77777777" w:rsidR="00932484" w:rsidRPr="00AF30A8" w:rsidRDefault="00000000">
      <w:pPr>
        <w:pBdr>
          <w:top w:val="nil"/>
          <w:left w:val="nil"/>
          <w:bottom w:val="nil"/>
          <w:right w:val="nil"/>
          <w:between w:val="nil"/>
        </w:pBdr>
        <w:spacing w:after="0" w:line="240" w:lineRule="auto"/>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Semi-structured Interview </w:t>
      </w:r>
    </w:p>
    <w:p w14:paraId="0AE08CAF" w14:textId="77777777" w:rsidR="00932484" w:rsidRPr="00AF30A8" w:rsidRDefault="00932484">
      <w:pPr>
        <w:pBdr>
          <w:top w:val="nil"/>
          <w:left w:val="nil"/>
          <w:bottom w:val="nil"/>
          <w:right w:val="nil"/>
          <w:between w:val="nil"/>
        </w:pBdr>
        <w:spacing w:after="0" w:line="240" w:lineRule="auto"/>
        <w:rPr>
          <w:rFonts w:ascii="Times New Roman" w:eastAsia="Times New Roman" w:hAnsi="Times New Roman" w:cs="Times New Roman"/>
          <w:b/>
          <w:color w:val="000000" w:themeColor="text1"/>
        </w:rPr>
      </w:pPr>
    </w:p>
    <w:p w14:paraId="6381C41A"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Qualitative interviewing, often described as the art of listening to data, is a powerful method for exploring complex and evolving social processes (Rubin </w:t>
      </w:r>
      <w:r w:rsidR="00DB7D67">
        <w:rPr>
          <w:rFonts w:ascii="Times New Roman" w:eastAsia="Times New Roman" w:hAnsi="Times New Roman" w:cs="Times New Roman"/>
          <w:color w:val="000000" w:themeColor="text1"/>
        </w:rPr>
        <w:t>and</w:t>
      </w:r>
      <w:r w:rsidRPr="00AF30A8">
        <w:rPr>
          <w:rFonts w:ascii="Times New Roman" w:eastAsia="Times New Roman" w:hAnsi="Times New Roman" w:cs="Times New Roman"/>
          <w:color w:val="000000" w:themeColor="text1"/>
        </w:rPr>
        <w:t xml:space="preserve"> Rubin</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2011). Grounded in conversational exchange, it highlights the dynamic interaction between interviewer and participant, with the researcher actively posing questions and listening closely to responses (Kvale</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1996; Warren</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2002). Among the various approaches, semi-structured interviews are most commonly used for their balance of structure and flexibility (Kallio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2016). This study employs semi-structured interviews to examine Chinese undergraduate students’ experiences and perspectives on integrating generative AI into their learning. The interview protocol includes both open- and closed-ended questions across five sections: academic background, generative AI usage, institutional guidance and support, attitudes toward generative AI, and reflections. The questions aim to understand how students currently use both global and domestic generative AI.</w:t>
      </w:r>
    </w:p>
    <w:p w14:paraId="044D11EF" w14:textId="77777777" w:rsidR="00932484" w:rsidRPr="00AF30A8" w:rsidRDefault="00932484">
      <w:pPr>
        <w:spacing w:after="0" w:line="480" w:lineRule="auto"/>
        <w:jc w:val="both"/>
        <w:rPr>
          <w:rFonts w:ascii="Times New Roman" w:eastAsia="Times New Roman" w:hAnsi="Times New Roman" w:cs="Times New Roman"/>
          <w:b/>
          <w:color w:val="000000" w:themeColor="text1"/>
        </w:rPr>
      </w:pPr>
    </w:p>
    <w:p w14:paraId="1BB5B44D" w14:textId="77777777" w:rsidR="00932484" w:rsidRPr="00AF30A8" w:rsidRDefault="00000000">
      <w:pPr>
        <w:spacing w:after="0" w:line="480" w:lineRule="auto"/>
        <w:jc w:val="both"/>
        <w:rPr>
          <w:rFonts w:ascii="Times New Roman" w:eastAsia="Times New Roman" w:hAnsi="Times New Roman" w:cs="Times New Roman"/>
          <w:b/>
          <w:color w:val="000000" w:themeColor="text1"/>
          <w:sz w:val="27"/>
          <w:szCs w:val="27"/>
        </w:rPr>
      </w:pPr>
      <w:r w:rsidRPr="00AF30A8">
        <w:rPr>
          <w:rFonts w:ascii="Times New Roman" w:eastAsia="Times New Roman" w:hAnsi="Times New Roman" w:cs="Times New Roman"/>
          <w:b/>
          <w:color w:val="000000" w:themeColor="text1"/>
        </w:rPr>
        <w:lastRenderedPageBreak/>
        <w:t>Sampling  </w:t>
      </w:r>
    </w:p>
    <w:p w14:paraId="24D2A379" w14:textId="124BF3C1"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ab/>
        <w:t>The study population consists of Chinese-speaking undergraduate students enrolled in higher education institutions in China. Participants were recruited through WeChat, a widely used Chinese social media platform. A recruitment announcement was posted and distributed by WeChat in June 2024. A total of 15 participants were successfully recruited, including 8 female students and 7 male students, with 6 from STEM</w:t>
      </w:r>
      <w:r w:rsidR="00760DE3">
        <w:rPr>
          <w:rFonts w:ascii="Times New Roman" w:eastAsia="Times New Roman" w:hAnsi="Times New Roman" w:cs="Times New Roman"/>
          <w:color w:val="000000" w:themeColor="text1"/>
        </w:rPr>
        <w:t>M</w:t>
      </w:r>
      <w:r w:rsidRPr="00AF30A8">
        <w:rPr>
          <w:rFonts w:ascii="Times New Roman" w:eastAsia="Times New Roman" w:hAnsi="Times New Roman" w:cs="Times New Roman"/>
          <w:color w:val="000000" w:themeColor="text1"/>
        </w:rPr>
        <w:t xml:space="preserve"> fields and 9 from the Social Sciences and Humanities. All participants are students at one of China’s most prestigious universities, located in a first-tier city. As a token of appreciation, each participant received a voucher for their involvement. While the institutional prestige, reliance on social media recruitment, and small sample size present limitations and potential biases, the study nonetheless offers valuable insights into how Chinese undergraduates navigate the regulation and accessibility of generative AI. </w:t>
      </w:r>
    </w:p>
    <w:p w14:paraId="3FD626F5" w14:textId="77777777" w:rsidR="00932484" w:rsidRPr="00AF30A8" w:rsidRDefault="00932484" w:rsidP="00AF30A8">
      <w:pPr>
        <w:spacing w:after="0" w:line="480" w:lineRule="auto"/>
        <w:jc w:val="center"/>
        <w:rPr>
          <w:rFonts w:ascii="Times New Roman" w:eastAsia="Times New Roman" w:hAnsi="Times New Roman" w:cs="Times New Roman"/>
          <w:b/>
          <w:bCs/>
          <w:i/>
          <w:iCs/>
          <w:color w:val="000000" w:themeColor="text1"/>
        </w:rPr>
      </w:pPr>
    </w:p>
    <w:p w14:paraId="15A16238" w14:textId="77777777" w:rsidR="00AF30A8" w:rsidRPr="00AF30A8" w:rsidRDefault="00AF30A8" w:rsidP="00AF30A8">
      <w:pPr>
        <w:spacing w:after="0" w:line="480" w:lineRule="auto"/>
        <w:jc w:val="center"/>
        <w:rPr>
          <w:rFonts w:ascii="Times New Roman" w:eastAsia="Times New Roman" w:hAnsi="Times New Roman" w:cs="Times New Roman"/>
          <w:b/>
          <w:bCs/>
          <w:i/>
          <w:iCs/>
          <w:color w:val="000000" w:themeColor="text1"/>
        </w:rPr>
      </w:pPr>
      <w:r w:rsidRPr="00AF30A8">
        <w:rPr>
          <w:rFonts w:ascii="Times New Roman" w:eastAsia="Times New Roman" w:hAnsi="Times New Roman" w:cs="Times New Roman"/>
          <w:b/>
          <w:bCs/>
          <w:i/>
          <w:iCs/>
          <w:color w:val="000000" w:themeColor="text1"/>
        </w:rPr>
        <w:t>See Table 1</w:t>
      </w:r>
    </w:p>
    <w:p w14:paraId="6B41B052" w14:textId="77777777"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b/>
          <w:color w:val="000000" w:themeColor="text1"/>
        </w:rPr>
        <w:t>Data Collection </w:t>
      </w:r>
    </w:p>
    <w:p w14:paraId="5216198C"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The interviews were conducted by the authors via the Zoom platform between July and August 2024. Each interview lasted approximately 60 minutes. At the start of each session, the researcher read the consent form, which outlined the study’s objectives, details on data usage, and an overview of the interview questions. Participants were given the opportunity to ask questions and freely decide whether to participate. With the participants’ consent, the interviews were recorded, and the discussions were automatically transcribed using Zoom’s transcription feature. These automated transcripts were then carefully reviewed, manually corrected for accuracy, and supplemented with relevant contextual notes. To ensure confidentiality, all identifying information </w:t>
      </w:r>
      <w:r w:rsidRPr="00AF30A8">
        <w:rPr>
          <w:rFonts w:ascii="Times New Roman" w:eastAsia="Times New Roman" w:hAnsi="Times New Roman" w:cs="Times New Roman"/>
          <w:color w:val="000000" w:themeColor="text1"/>
        </w:rPr>
        <w:lastRenderedPageBreak/>
        <w:t>was removed and pseudonyms were systematically assigned to each participant throughout the study.</w:t>
      </w:r>
    </w:p>
    <w:p w14:paraId="34DEEEF2"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678180A5" w14:textId="77777777" w:rsidR="00932484" w:rsidRPr="00AF30A8" w:rsidRDefault="00000000">
      <w:pPr>
        <w:pBdr>
          <w:top w:val="nil"/>
          <w:left w:val="nil"/>
          <w:bottom w:val="nil"/>
          <w:right w:val="nil"/>
          <w:between w:val="nil"/>
        </w:pBdr>
        <w:spacing w:after="0" w:line="240" w:lineRule="auto"/>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Data Analysis  </w:t>
      </w:r>
    </w:p>
    <w:p w14:paraId="6E3125C3" w14:textId="77777777" w:rsidR="00932484" w:rsidRPr="00AF30A8" w:rsidRDefault="00932484">
      <w:pPr>
        <w:pBdr>
          <w:top w:val="nil"/>
          <w:left w:val="nil"/>
          <w:bottom w:val="nil"/>
          <w:right w:val="nil"/>
          <w:between w:val="nil"/>
        </w:pBdr>
        <w:spacing w:after="0" w:line="240" w:lineRule="auto"/>
        <w:rPr>
          <w:rFonts w:ascii="Times New Roman" w:eastAsia="Times New Roman" w:hAnsi="Times New Roman" w:cs="Times New Roman"/>
          <w:b/>
          <w:color w:val="000000" w:themeColor="text1"/>
          <w:sz w:val="27"/>
          <w:szCs w:val="27"/>
        </w:rPr>
      </w:pPr>
    </w:p>
    <w:p w14:paraId="6E82924A" w14:textId="77777777" w:rsidR="00932484"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ab/>
        <w:t>The dataset comprised 15 hours of interview recordings, all of which were transcribed verbatim and verified through participant member checking to ensure accuracy. All transcripts were imported into the qualitative data analysis (QDA) software NVivo 14 Mac in chronological order. Then, the authors conducted the coding process, applying Saldaña’s (2025) two-cycle coding methods. In the first cycle, the data were broken down into manageable segments using in vivo coding and descriptive coding to capture key concepts and summarize content. Following this, the second cycle focused on identifying broader themes and conceptual patterns through pattern coding, focused coding, and axial coding (Saldaña 2025). The preliminary codes were progressively organized into subthemes and broader themes, guided by the UTAUT2 framework. To ensure rigor, two authors independently coded a subset of transcripts to establish inter-coder reliability, after which discrepancies were resolved through a negotiated agreement process to refine the coding framework.  Thematic saturation was reached after the 13th interview. Overall, the transcripts were analyzed thematically, employing a combination of deductive and inductive coding approaches to uncover both predefined and emerging themes. Table 2 presents the coding book guided by UTAUT2 for the interview questions.</w:t>
      </w:r>
    </w:p>
    <w:p w14:paraId="223302AB" w14:textId="77777777" w:rsidR="00AF30A8" w:rsidRPr="00AF30A8" w:rsidRDefault="00AF30A8">
      <w:pPr>
        <w:spacing w:after="0" w:line="480" w:lineRule="auto"/>
        <w:jc w:val="both"/>
        <w:rPr>
          <w:rFonts w:ascii="Times New Roman" w:eastAsia="Times New Roman" w:hAnsi="Times New Roman" w:cs="Times New Roman"/>
          <w:color w:val="000000" w:themeColor="text1"/>
        </w:rPr>
      </w:pPr>
    </w:p>
    <w:p w14:paraId="19FA0F3F" w14:textId="77777777" w:rsidR="00932484" w:rsidRPr="00AF30A8" w:rsidRDefault="00AF30A8" w:rsidP="00AF30A8">
      <w:pPr>
        <w:spacing w:after="0" w:line="480" w:lineRule="auto"/>
        <w:jc w:val="center"/>
        <w:rPr>
          <w:rFonts w:ascii="Times New Roman" w:eastAsia="Times New Roman" w:hAnsi="Times New Roman" w:cs="Times New Roman"/>
          <w:b/>
          <w:bCs/>
          <w:i/>
          <w:iCs/>
          <w:color w:val="000000" w:themeColor="text1"/>
        </w:rPr>
      </w:pPr>
      <w:r w:rsidRPr="00AF30A8">
        <w:rPr>
          <w:rFonts w:ascii="Times New Roman" w:eastAsia="Times New Roman" w:hAnsi="Times New Roman" w:cs="Times New Roman"/>
          <w:b/>
          <w:bCs/>
          <w:i/>
          <w:iCs/>
          <w:color w:val="000000" w:themeColor="text1"/>
        </w:rPr>
        <w:t>See Table 2</w:t>
      </w:r>
    </w:p>
    <w:p w14:paraId="2927B569" w14:textId="77777777" w:rsidR="00932484" w:rsidRPr="00AF30A8" w:rsidRDefault="00932484">
      <w:pPr>
        <w:spacing w:after="0" w:line="480" w:lineRule="auto"/>
        <w:jc w:val="both"/>
        <w:rPr>
          <w:rFonts w:ascii="Times New Roman" w:eastAsia="Times New Roman" w:hAnsi="Times New Roman" w:cs="Times New Roman"/>
          <w:b/>
          <w:color w:val="000000" w:themeColor="text1"/>
        </w:rPr>
      </w:pPr>
    </w:p>
    <w:p w14:paraId="73674898" w14:textId="77777777" w:rsidR="00932484" w:rsidRPr="00AF30A8" w:rsidRDefault="00000000">
      <w:pPr>
        <w:spacing w:after="0" w:line="480" w:lineRule="auto"/>
        <w:jc w:val="both"/>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 xml:space="preserve">Ethical Considerations </w:t>
      </w:r>
    </w:p>
    <w:p w14:paraId="5C58EC0C"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lastRenderedPageBreak/>
        <w:t xml:space="preserve">This study received ethical clearance from the University of Minnesota’s Institutional Review Board. Participants were fully informed about the study’s objectives, the voluntary nature of their involvement, and the measures taken to ensure confidentiality. Informed consent was obtained through their participation, with reminders that they could withdraw at any stage, thereby safeguarding both ethical compliance and participant autonomy. </w:t>
      </w:r>
    </w:p>
    <w:p w14:paraId="5A6479B9"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5B9EA797" w14:textId="77777777" w:rsidR="00932484" w:rsidRPr="00AF30A8" w:rsidRDefault="00000000">
      <w:pPr>
        <w:spacing w:after="0" w:line="480" w:lineRule="auto"/>
        <w:jc w:val="both"/>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 xml:space="preserve">Researchers’ Background and Positionality </w:t>
      </w:r>
    </w:p>
    <w:p w14:paraId="70902F95"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This study was conducted by an interdisciplinary team of researchers from diverse academic backgrounds and universities. The team combines expertise in computer science and higher education, with all members originally from China who have studied both within and outside the country. This blend of experiences provides a nuanced and contextually grounded interpretation of the data. The team’s interdisciplinary orientation, together with their dual perspectives as insiders and outsiders, aligns with the study’s aim of examining how Chinese undergraduate students navigate global and local generative AI in their learning processes through both technological and pedagogical lenses.</w:t>
      </w:r>
    </w:p>
    <w:p w14:paraId="667E5E43"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18F32934" w14:textId="77777777" w:rsidR="00932484" w:rsidRPr="00AF30A8" w:rsidRDefault="00000000">
      <w:pPr>
        <w:spacing w:before="360" w:after="120" w:line="480" w:lineRule="auto"/>
        <w:jc w:val="center"/>
        <w:rPr>
          <w:rFonts w:ascii="Times New Roman" w:eastAsia="Times New Roman" w:hAnsi="Times New Roman" w:cs="Times New Roman"/>
          <w:b/>
          <w:color w:val="000000" w:themeColor="text1"/>
          <w:sz w:val="36"/>
          <w:szCs w:val="36"/>
        </w:rPr>
      </w:pPr>
      <w:r w:rsidRPr="00AF30A8">
        <w:rPr>
          <w:rFonts w:ascii="Times New Roman" w:eastAsia="Times New Roman" w:hAnsi="Times New Roman" w:cs="Times New Roman"/>
          <w:b/>
          <w:color w:val="000000" w:themeColor="text1"/>
        </w:rPr>
        <w:t>Results</w:t>
      </w:r>
    </w:p>
    <w:p w14:paraId="438062D8" w14:textId="77777777" w:rsidR="00932484" w:rsidRPr="00AF30A8" w:rsidRDefault="00000000">
      <w:pPr>
        <w:spacing w:after="0" w:line="480" w:lineRule="auto"/>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RQ1: How do accessibility and cost influence Chinese university students’ choices and adoption of global versus domestic generative AI tools?</w:t>
      </w:r>
    </w:p>
    <w:p w14:paraId="2F5CBFBA" w14:textId="77777777" w:rsidR="00932484" w:rsidRPr="00AF30A8" w:rsidRDefault="00932484">
      <w:pPr>
        <w:spacing w:after="0" w:line="240" w:lineRule="auto"/>
        <w:rPr>
          <w:rFonts w:ascii="Times New Roman" w:eastAsia="Times New Roman" w:hAnsi="Times New Roman" w:cs="Times New Roman"/>
          <w:color w:val="000000" w:themeColor="text1"/>
        </w:rPr>
      </w:pPr>
    </w:p>
    <w:p w14:paraId="14341272" w14:textId="77777777" w:rsidR="00932484" w:rsidRPr="00AF30A8" w:rsidRDefault="00000000">
      <w:pPr>
        <w:pBdr>
          <w:top w:val="nil"/>
          <w:left w:val="nil"/>
          <w:bottom w:val="nil"/>
          <w:right w:val="nil"/>
          <w:between w:val="nil"/>
        </w:pBdr>
        <w:spacing w:after="0" w:line="240" w:lineRule="auto"/>
        <w:rPr>
          <w:rFonts w:ascii="Times New Roman" w:eastAsia="Times New Roman" w:hAnsi="Times New Roman" w:cs="Times New Roman"/>
          <w:b/>
          <w:i/>
          <w:color w:val="000000" w:themeColor="text1"/>
        </w:rPr>
      </w:pPr>
      <w:r w:rsidRPr="00AF30A8">
        <w:rPr>
          <w:rFonts w:ascii="Times New Roman" w:eastAsia="Times New Roman" w:hAnsi="Times New Roman" w:cs="Times New Roman"/>
          <w:b/>
          <w:i/>
          <w:color w:val="000000" w:themeColor="text1"/>
        </w:rPr>
        <w:t>Navigating Access Barriers and Workarounds</w:t>
      </w:r>
    </w:p>
    <w:p w14:paraId="2CB46B05" w14:textId="77777777" w:rsidR="00932484" w:rsidRPr="00AF30A8" w:rsidRDefault="00932484">
      <w:pPr>
        <w:pBdr>
          <w:top w:val="nil"/>
          <w:left w:val="nil"/>
          <w:bottom w:val="nil"/>
          <w:right w:val="nil"/>
          <w:between w:val="nil"/>
        </w:pBdr>
        <w:spacing w:after="0" w:line="240" w:lineRule="auto"/>
        <w:rPr>
          <w:rFonts w:ascii="Times New Roman" w:eastAsia="Times New Roman" w:hAnsi="Times New Roman" w:cs="Times New Roman"/>
          <w:b/>
          <w:i/>
          <w:color w:val="000000" w:themeColor="text1"/>
        </w:rPr>
      </w:pPr>
    </w:p>
    <w:p w14:paraId="207A5CDC" w14:textId="77777777" w:rsidR="00932484" w:rsidRPr="00AF30A8" w:rsidRDefault="00000000">
      <w:pPr>
        <w:spacing w:after="0" w:line="480" w:lineRule="auto"/>
        <w:ind w:firstLine="1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b/>
          <w:color w:val="000000" w:themeColor="text1"/>
        </w:rPr>
        <w:tab/>
      </w:r>
      <w:r w:rsidRPr="00AF30A8">
        <w:rPr>
          <w:rFonts w:ascii="Times New Roman" w:eastAsia="Times New Roman" w:hAnsi="Times New Roman" w:cs="Times New Roman"/>
          <w:color w:val="000000" w:themeColor="text1"/>
        </w:rPr>
        <w:t xml:space="preserve">The accessibility of generative AI tools has become a key factor influencing students’ usage patterns. Under the framework of </w:t>
      </w:r>
      <w:r w:rsidRPr="00AF30A8">
        <w:rPr>
          <w:rFonts w:ascii="Times New Roman" w:eastAsia="Times New Roman" w:hAnsi="Times New Roman" w:cs="Times New Roman"/>
          <w:i/>
          <w:color w:val="000000" w:themeColor="text1"/>
        </w:rPr>
        <w:t>Facilitating Conditions</w:t>
      </w:r>
      <w:r w:rsidRPr="00AF30A8">
        <w:rPr>
          <w:rFonts w:ascii="Times New Roman" w:eastAsia="Times New Roman" w:hAnsi="Times New Roman" w:cs="Times New Roman"/>
          <w:color w:val="000000" w:themeColor="text1"/>
        </w:rPr>
        <w:t xml:space="preserve"> (Venkatesh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2012), </w:t>
      </w:r>
      <w:r w:rsidRPr="00AF30A8">
        <w:rPr>
          <w:rFonts w:ascii="Times New Roman" w:eastAsia="Times New Roman" w:hAnsi="Times New Roman" w:cs="Times New Roman"/>
          <w:color w:val="000000" w:themeColor="text1"/>
        </w:rPr>
        <w:lastRenderedPageBreak/>
        <w:t>government restrictions on global generative AI tools such as ChatGPT, along with the availability of domestic alternatives, have significantly shaped students’ behavior. Since global platforms are blocked by China’s internet censorship and firewall systems (</w:t>
      </w:r>
      <w:r w:rsidRPr="00AF30A8">
        <w:rPr>
          <w:rFonts w:ascii="Times New Roman" w:eastAsia="Times New Roman" w:hAnsi="Times New Roman" w:cs="Times New Roman"/>
          <w:color w:val="000000" w:themeColor="text1"/>
          <w:highlight w:val="white"/>
        </w:rPr>
        <w:t xml:space="preserve">Zou </w:t>
      </w:r>
      <w:r w:rsidR="00DB7D67">
        <w:rPr>
          <w:rFonts w:ascii="Times New Roman" w:eastAsia="Times New Roman" w:hAnsi="Times New Roman" w:cs="Times New Roman"/>
          <w:color w:val="000000" w:themeColor="text1"/>
          <w:highlight w:val="white"/>
        </w:rPr>
        <w:t>and</w:t>
      </w:r>
      <w:r w:rsidRPr="00AF30A8">
        <w:rPr>
          <w:rFonts w:ascii="Times New Roman" w:eastAsia="Times New Roman" w:hAnsi="Times New Roman" w:cs="Times New Roman"/>
          <w:color w:val="000000" w:themeColor="text1"/>
          <w:highlight w:val="white"/>
        </w:rPr>
        <w:t xml:space="preserve"> Liu</w:t>
      </w:r>
      <w:r w:rsidR="00DB7D67">
        <w:rPr>
          <w:rFonts w:ascii="Times New Roman" w:eastAsia="Times New Roman" w:hAnsi="Times New Roman" w:cs="Times New Roman"/>
          <w:color w:val="000000" w:themeColor="text1"/>
          <w:highlight w:val="white"/>
        </w:rPr>
        <w:t xml:space="preserve"> </w:t>
      </w:r>
      <w:r w:rsidRPr="00AF30A8">
        <w:rPr>
          <w:rFonts w:ascii="Times New Roman" w:eastAsia="Times New Roman" w:hAnsi="Times New Roman" w:cs="Times New Roman"/>
          <w:color w:val="000000" w:themeColor="text1"/>
          <w:highlight w:val="white"/>
        </w:rPr>
        <w:t>2024</w:t>
      </w:r>
      <w:r w:rsidRPr="00AF30A8">
        <w:rPr>
          <w:rFonts w:ascii="Times New Roman" w:eastAsia="Times New Roman" w:hAnsi="Times New Roman" w:cs="Times New Roman"/>
          <w:color w:val="000000" w:themeColor="text1"/>
        </w:rPr>
        <w:t>), all participants acknowledged that these access limitations created barriers to adoption, with many describing their engagement with global generative AIs as inconsistent, fragmented, or reliant on external resources. </w:t>
      </w:r>
    </w:p>
    <w:p w14:paraId="114926B0"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For instance, two female participants majoring in philosophy and medical science reported no prior use of ChatGPT due to their lack of access to VPNs or overseas accounts, while two male computer science students gained “legal access” to ChatGPT through internships in the AI industry or exchange programs in the United States. Such contracts reveal how disciplinary background, professional networks, and international exposure intersect to shape digital access. </w:t>
      </w:r>
    </w:p>
    <w:p w14:paraId="3E5DDB58"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Participants who lacked formal access adopted various workaround strategies, including purchasing VPNs, borrowing accounts from friends or classmates, and using intermediary services marketed through social media. However, these methods often proved unstable and insecure. One participant’s experience of losing shared account access following a personal relationship change illustrates how access to global generative AI can be mediated by interpersonal ties. This underscores that </w:t>
      </w:r>
      <w:r w:rsidRPr="00AF30A8">
        <w:rPr>
          <w:rFonts w:ascii="Times New Roman" w:eastAsia="Times New Roman" w:hAnsi="Times New Roman" w:cs="Times New Roman"/>
          <w:i/>
          <w:color w:val="000000" w:themeColor="text1"/>
        </w:rPr>
        <w:t xml:space="preserve">Facilitating Conditions </w:t>
      </w:r>
      <w:r w:rsidRPr="00AF30A8">
        <w:rPr>
          <w:rFonts w:ascii="Times New Roman" w:eastAsia="Times New Roman" w:hAnsi="Times New Roman" w:cs="Times New Roman"/>
          <w:color w:val="000000" w:themeColor="text1"/>
        </w:rPr>
        <w:t xml:space="preserve">in censored environments are not purely technical but embedded in complex social and relational structures that condition digital participation. </w:t>
      </w:r>
    </w:p>
    <w:p w14:paraId="31B49BA8"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Furthermore, participants expressed uncertainty about data privacy and the authenticity of intermediary services. As one student noted, peers who purchased access through social media platforms often doubted whether they were interacting with genuine ChatGPT systems. These concerns demonstrate that </w:t>
      </w:r>
      <w:r w:rsidRPr="00AF30A8">
        <w:rPr>
          <w:rFonts w:ascii="Times New Roman" w:eastAsia="Times New Roman" w:hAnsi="Times New Roman" w:cs="Times New Roman"/>
          <w:i/>
          <w:color w:val="000000" w:themeColor="text1"/>
        </w:rPr>
        <w:t>Facilitating Conditions</w:t>
      </w:r>
      <w:r w:rsidRPr="00AF30A8">
        <w:rPr>
          <w:rFonts w:ascii="Times New Roman" w:eastAsia="Times New Roman" w:hAnsi="Times New Roman" w:cs="Times New Roman"/>
          <w:color w:val="000000" w:themeColor="text1"/>
        </w:rPr>
        <w:t xml:space="preserve"> encompass not only technological infrastructure but also social trust, economic resources, and perceptions of platform legitimacy. </w:t>
      </w:r>
    </w:p>
    <w:p w14:paraId="78C449F4" w14:textId="77777777" w:rsidR="00932484" w:rsidRPr="00AF30A8" w:rsidRDefault="00000000">
      <w:pPr>
        <w:spacing w:after="0" w:line="480" w:lineRule="auto"/>
        <w:ind w:firstLine="720"/>
        <w:jc w:val="both"/>
        <w:rPr>
          <w:rFonts w:ascii="Times New Roman" w:eastAsia="Times New Roman" w:hAnsi="Times New Roman" w:cs="Times New Roman"/>
          <w:b/>
          <w:i/>
          <w:color w:val="000000" w:themeColor="text1"/>
        </w:rPr>
      </w:pPr>
      <w:r w:rsidRPr="00AF30A8">
        <w:rPr>
          <w:rFonts w:ascii="Times New Roman" w:eastAsia="Times New Roman" w:hAnsi="Times New Roman" w:cs="Times New Roman"/>
          <w:color w:val="000000" w:themeColor="text1"/>
        </w:rPr>
        <w:lastRenderedPageBreak/>
        <w:t xml:space="preserve">In contrast, all participants reported prior experience utilizing domestic generative AI, including Kimi Chat, </w:t>
      </w:r>
      <w:proofErr w:type="spellStart"/>
      <w:r w:rsidRPr="00AF30A8">
        <w:rPr>
          <w:rFonts w:ascii="Times New Roman" w:eastAsia="Times New Roman" w:hAnsi="Times New Roman" w:cs="Times New Roman"/>
          <w:color w:val="000000" w:themeColor="text1"/>
        </w:rPr>
        <w:t>ChatGLM</w:t>
      </w:r>
      <w:proofErr w:type="spellEnd"/>
      <w:r w:rsidRPr="00AF30A8">
        <w:rPr>
          <w:rFonts w:ascii="Times New Roman" w:eastAsia="Times New Roman" w:hAnsi="Times New Roman" w:cs="Times New Roman"/>
          <w:color w:val="000000" w:themeColor="text1"/>
        </w:rPr>
        <w:t xml:space="preserve">, </w:t>
      </w:r>
      <w:proofErr w:type="spellStart"/>
      <w:r w:rsidRPr="00AF30A8">
        <w:rPr>
          <w:rFonts w:ascii="Times New Roman" w:eastAsia="Times New Roman" w:hAnsi="Times New Roman" w:cs="Times New Roman"/>
          <w:color w:val="000000" w:themeColor="text1"/>
        </w:rPr>
        <w:t>Doubao</w:t>
      </w:r>
      <w:proofErr w:type="spellEnd"/>
      <w:r w:rsidRPr="00AF30A8">
        <w:rPr>
          <w:rFonts w:ascii="Times New Roman" w:eastAsia="Times New Roman" w:hAnsi="Times New Roman" w:cs="Times New Roman"/>
          <w:color w:val="000000" w:themeColor="text1"/>
        </w:rPr>
        <w:t xml:space="preserve">, Wenxin Yiyan, and Qwen. These tools were readily accessible, often integrated with domestic platforms or apps (e.g., WeChat), thus lowering the barrier and enhancing both </w:t>
      </w:r>
      <w:r w:rsidRPr="00AF30A8">
        <w:rPr>
          <w:rFonts w:ascii="Times New Roman" w:eastAsia="Times New Roman" w:hAnsi="Times New Roman" w:cs="Times New Roman"/>
          <w:i/>
          <w:color w:val="000000" w:themeColor="text1"/>
        </w:rPr>
        <w:t>Effort Expectancy</w:t>
      </w:r>
      <w:r w:rsidRPr="00AF30A8">
        <w:rPr>
          <w:rFonts w:ascii="Times New Roman" w:eastAsia="Times New Roman" w:hAnsi="Times New Roman" w:cs="Times New Roman"/>
          <w:color w:val="000000" w:themeColor="text1"/>
        </w:rPr>
        <w:t xml:space="preserve"> (minimal difficulty in learning or using the tool) and </w:t>
      </w:r>
      <w:r w:rsidRPr="00AF30A8">
        <w:rPr>
          <w:rFonts w:ascii="Times New Roman" w:eastAsia="Times New Roman" w:hAnsi="Times New Roman" w:cs="Times New Roman"/>
          <w:i/>
          <w:color w:val="000000" w:themeColor="text1"/>
        </w:rPr>
        <w:t>Facilitating Conditions</w:t>
      </w:r>
      <w:r w:rsidRPr="00AF30A8">
        <w:rPr>
          <w:rFonts w:ascii="Times New Roman" w:eastAsia="Times New Roman" w:hAnsi="Times New Roman" w:cs="Times New Roman"/>
          <w:color w:val="000000" w:themeColor="text1"/>
        </w:rPr>
        <w:t xml:space="preserve"> (availability of technological infrastructure). </w:t>
      </w:r>
      <w:r w:rsidRPr="00AF30A8">
        <w:rPr>
          <w:rFonts w:ascii="Times New Roman" w:eastAsia="Times New Roman" w:hAnsi="Times New Roman" w:cs="Times New Roman"/>
          <w:i/>
          <w:color w:val="000000" w:themeColor="text1"/>
        </w:rPr>
        <w:t xml:space="preserve">Social Influence </w:t>
      </w:r>
      <w:r w:rsidRPr="00AF30A8">
        <w:rPr>
          <w:rFonts w:ascii="Times New Roman" w:eastAsia="Times New Roman" w:hAnsi="Times New Roman" w:cs="Times New Roman"/>
          <w:color w:val="000000" w:themeColor="text1"/>
        </w:rPr>
        <w:t>also played an important role, students, particularly those from non-STEM backgrounds, often adopted tools based on peer recommendations or classroom trends, suggesting that perceived social expectations strongly shape their technology choices.</w:t>
      </w:r>
    </w:p>
    <w:p w14:paraId="1D561240" w14:textId="77777777" w:rsidR="00932484" w:rsidRPr="00AF30A8" w:rsidRDefault="00932484">
      <w:pPr>
        <w:spacing w:after="0" w:line="480" w:lineRule="auto"/>
        <w:ind w:firstLine="720"/>
        <w:jc w:val="both"/>
        <w:rPr>
          <w:rFonts w:ascii="Times New Roman" w:eastAsia="Times New Roman" w:hAnsi="Times New Roman" w:cs="Times New Roman"/>
          <w:b/>
          <w:i/>
          <w:color w:val="000000" w:themeColor="text1"/>
        </w:rPr>
      </w:pPr>
    </w:p>
    <w:p w14:paraId="0A06D76D" w14:textId="77777777" w:rsidR="00932484" w:rsidRPr="00AF30A8" w:rsidRDefault="00000000">
      <w:pPr>
        <w:pBdr>
          <w:top w:val="nil"/>
          <w:left w:val="nil"/>
          <w:bottom w:val="nil"/>
          <w:right w:val="nil"/>
          <w:between w:val="nil"/>
        </w:pBdr>
        <w:spacing w:after="0" w:line="240" w:lineRule="auto"/>
        <w:rPr>
          <w:rFonts w:ascii="Times New Roman" w:eastAsia="Times New Roman" w:hAnsi="Times New Roman" w:cs="Times New Roman"/>
          <w:b/>
          <w:i/>
          <w:color w:val="000000" w:themeColor="text1"/>
        </w:rPr>
      </w:pPr>
      <w:r w:rsidRPr="00AF30A8">
        <w:rPr>
          <w:rFonts w:ascii="Times New Roman" w:eastAsia="Times New Roman" w:hAnsi="Times New Roman" w:cs="Times New Roman"/>
          <w:b/>
          <w:i/>
          <w:color w:val="000000" w:themeColor="text1"/>
        </w:rPr>
        <w:t>Cost, Value, and Access: Negotiating Paid and Free Versions</w:t>
      </w:r>
    </w:p>
    <w:p w14:paraId="43833096" w14:textId="77777777" w:rsidR="00932484" w:rsidRPr="00AF30A8" w:rsidRDefault="00932484">
      <w:pPr>
        <w:pBdr>
          <w:top w:val="nil"/>
          <w:left w:val="nil"/>
          <w:bottom w:val="nil"/>
          <w:right w:val="nil"/>
          <w:between w:val="nil"/>
        </w:pBdr>
        <w:spacing w:after="0" w:line="240" w:lineRule="auto"/>
        <w:rPr>
          <w:rFonts w:ascii="Times New Roman" w:eastAsia="Times New Roman" w:hAnsi="Times New Roman" w:cs="Times New Roman"/>
          <w:b/>
          <w:i/>
          <w:color w:val="000000" w:themeColor="text1"/>
          <w:sz w:val="27"/>
          <w:szCs w:val="27"/>
        </w:rPr>
      </w:pPr>
    </w:p>
    <w:p w14:paraId="1AEBC8FB"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 Cost and access emerged as additional determinants of adoption. Globally, generative AI tools such as ChatGPT, Claude 3, and Gemini 1.5 Pro are typically priced between $20–$30 USD per month, whereas domestic alternatives range from ¥49 to ¥199 CNY per month ($6.74 to $27.38 USD). In line with the </w:t>
      </w:r>
      <w:r w:rsidRPr="00AF30A8">
        <w:rPr>
          <w:rFonts w:ascii="Times New Roman" w:eastAsia="Times New Roman" w:hAnsi="Times New Roman" w:cs="Times New Roman"/>
          <w:i/>
          <w:color w:val="000000" w:themeColor="text1"/>
        </w:rPr>
        <w:t>Price Value</w:t>
      </w:r>
      <w:r w:rsidRPr="00AF30A8">
        <w:rPr>
          <w:rFonts w:ascii="Times New Roman" w:eastAsia="Times New Roman" w:hAnsi="Times New Roman" w:cs="Times New Roman"/>
          <w:color w:val="000000" w:themeColor="text1"/>
        </w:rPr>
        <w:t xml:space="preserve"> construct of UTAUT2, adoption decisions reflected a mental cost–benefit evaluation. This relationship was evident in participants’ discussions of paid versions. Five students subscribed to ChatGPT Plus, viewing the subscription as cost-effective due to its superior performance and academic utility. As </w:t>
      </w:r>
      <w:proofErr w:type="spellStart"/>
      <w:r w:rsidRPr="00AF30A8">
        <w:rPr>
          <w:rFonts w:ascii="Times New Roman" w:eastAsia="Times New Roman" w:hAnsi="Times New Roman" w:cs="Times New Roman"/>
          <w:color w:val="000000" w:themeColor="text1"/>
        </w:rPr>
        <w:t>Maoxin</w:t>
      </w:r>
      <w:proofErr w:type="spellEnd"/>
      <w:r w:rsidRPr="00AF30A8">
        <w:rPr>
          <w:rFonts w:ascii="Times New Roman" w:eastAsia="Times New Roman" w:hAnsi="Times New Roman" w:cs="Times New Roman"/>
          <w:color w:val="000000" w:themeColor="text1"/>
        </w:rPr>
        <w:t xml:space="preserve"> noted, “Initially, I thought $20 was expensive, but since I use it quite frequently and it helps improve my productivity, it’s actually acceptable.” Similarly, Liqiu explained that sharing a subscription with three people reduced costs, making it “quite worth the money.”  In contrast, none of the participants reported paying for domestic generative AI, citing that the free version already satisfied their learning needs. As Yuheng described, “The free version meets my basic requirements,” and </w:t>
      </w:r>
      <w:proofErr w:type="spellStart"/>
      <w:r w:rsidRPr="00AF30A8">
        <w:rPr>
          <w:rFonts w:ascii="Times New Roman" w:eastAsia="Times New Roman" w:hAnsi="Times New Roman" w:cs="Times New Roman"/>
          <w:color w:val="000000" w:themeColor="text1"/>
        </w:rPr>
        <w:t>Xunfei</w:t>
      </w:r>
      <w:proofErr w:type="spellEnd"/>
      <w:r w:rsidRPr="00AF30A8">
        <w:rPr>
          <w:rFonts w:ascii="Times New Roman" w:eastAsia="Times New Roman" w:hAnsi="Times New Roman" w:cs="Times New Roman"/>
          <w:color w:val="000000" w:themeColor="text1"/>
        </w:rPr>
        <w:t xml:space="preserve"> added, “It depends </w:t>
      </w:r>
      <w:r w:rsidRPr="00AF30A8">
        <w:rPr>
          <w:rFonts w:ascii="Times New Roman" w:eastAsia="Times New Roman" w:hAnsi="Times New Roman" w:cs="Times New Roman"/>
          <w:color w:val="000000" w:themeColor="text1"/>
        </w:rPr>
        <w:lastRenderedPageBreak/>
        <w:t xml:space="preserve">on one’s demand– mine is limited, so I use the free version.” These responses demonstrate that </w:t>
      </w:r>
      <w:r w:rsidRPr="00AF30A8">
        <w:rPr>
          <w:rFonts w:ascii="Times New Roman" w:eastAsia="Times New Roman" w:hAnsi="Times New Roman" w:cs="Times New Roman"/>
          <w:i/>
          <w:color w:val="000000" w:themeColor="text1"/>
        </w:rPr>
        <w:t>Price Value</w:t>
      </w:r>
      <w:r w:rsidRPr="00AF30A8">
        <w:rPr>
          <w:rFonts w:ascii="Times New Roman" w:eastAsia="Times New Roman" w:hAnsi="Times New Roman" w:cs="Times New Roman"/>
          <w:color w:val="000000" w:themeColor="text1"/>
        </w:rPr>
        <w:t xml:space="preserve"> is closely tied to individual academic needs and perceived utility. </w:t>
      </w:r>
    </w:p>
    <w:p w14:paraId="6289FA88"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At the same time, </w:t>
      </w:r>
      <w:r w:rsidRPr="00AF30A8">
        <w:rPr>
          <w:rFonts w:ascii="Times New Roman" w:eastAsia="Times New Roman" w:hAnsi="Times New Roman" w:cs="Times New Roman"/>
          <w:i/>
          <w:color w:val="000000" w:themeColor="text1"/>
        </w:rPr>
        <w:t>Effort Expectancy</w:t>
      </w:r>
      <w:r w:rsidRPr="00AF30A8">
        <w:rPr>
          <w:rFonts w:ascii="Times New Roman" w:eastAsia="Times New Roman" w:hAnsi="Times New Roman" w:cs="Times New Roman"/>
          <w:color w:val="000000" w:themeColor="text1"/>
        </w:rPr>
        <w:t xml:space="preserve"> emerged as a subtle but influential barrier. For instance, </w:t>
      </w:r>
      <w:proofErr w:type="spellStart"/>
      <w:r w:rsidRPr="00AF30A8">
        <w:rPr>
          <w:rFonts w:ascii="Times New Roman" w:eastAsia="Times New Roman" w:hAnsi="Times New Roman" w:cs="Times New Roman"/>
          <w:color w:val="000000" w:themeColor="text1"/>
        </w:rPr>
        <w:t>Qiji</w:t>
      </w:r>
      <w:proofErr w:type="spellEnd"/>
      <w:r w:rsidRPr="00AF30A8">
        <w:rPr>
          <w:rFonts w:ascii="Times New Roman" w:eastAsia="Times New Roman" w:hAnsi="Times New Roman" w:cs="Times New Roman"/>
          <w:color w:val="000000" w:themeColor="text1"/>
        </w:rPr>
        <w:t xml:space="preserve"> described difficulties paying for ChatGPT using Chinese banking systems, noting that “domestic cards are not accepted,” and that using third-party channels like Taobao felt insecure. Such procedural complexity diminished willingness to subscribe, even when perceived value was high. </w:t>
      </w:r>
      <w:r w:rsidRPr="00AF30A8">
        <w:rPr>
          <w:rFonts w:ascii="Times New Roman" w:eastAsia="Times New Roman" w:hAnsi="Times New Roman" w:cs="Times New Roman"/>
          <w:i/>
          <w:color w:val="000000" w:themeColor="text1"/>
        </w:rPr>
        <w:t xml:space="preserve">Hedonic Motivation </w:t>
      </w:r>
      <w:r w:rsidRPr="00AF30A8">
        <w:rPr>
          <w:rFonts w:ascii="Times New Roman" w:eastAsia="Times New Roman" w:hAnsi="Times New Roman" w:cs="Times New Roman"/>
          <w:color w:val="000000" w:themeColor="text1"/>
        </w:rPr>
        <w:t xml:space="preserve">also influenced adoption decisions. STEM students in particular described a sense of enjoyment and curiosity in experimenting with the latest global models, framing paid access as both an academic investment and a source of personal satisfaction. </w:t>
      </w:r>
      <w:r w:rsidRPr="00AF30A8">
        <w:rPr>
          <w:rFonts w:ascii="Times New Roman" w:eastAsia="Times New Roman" w:hAnsi="Times New Roman" w:cs="Times New Roman"/>
          <w:i/>
          <w:color w:val="000000" w:themeColor="text1"/>
        </w:rPr>
        <w:t>Social Influence</w:t>
      </w:r>
      <w:r w:rsidRPr="00AF30A8">
        <w:rPr>
          <w:rFonts w:ascii="Times New Roman" w:eastAsia="Times New Roman" w:hAnsi="Times New Roman" w:cs="Times New Roman"/>
          <w:color w:val="000000" w:themeColor="text1"/>
        </w:rPr>
        <w:t xml:space="preserve"> reinforced this trend, as online communities and peer networks often equated access to advanced generative AI tools with technological competence and academic prestige.</w:t>
      </w:r>
    </w:p>
    <w:p w14:paraId="625D19D5"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Interestingly, despite benchmark results showing comparable performance between global and domestic generative AI tools, and even domestic advantages in Chinese-language and mathematics tasks, participants consistently perceived global models as more powerful and authoritative. This perception underscores how sociocultural symbolism and perceived innovation status contribute to </w:t>
      </w:r>
      <w:r w:rsidRPr="00AF30A8">
        <w:rPr>
          <w:rFonts w:ascii="Times New Roman" w:eastAsia="Times New Roman" w:hAnsi="Times New Roman" w:cs="Times New Roman"/>
          <w:i/>
          <w:color w:val="000000" w:themeColor="text1"/>
        </w:rPr>
        <w:t>Performance Expectancy</w:t>
      </w:r>
      <w:r w:rsidRPr="00AF30A8">
        <w:rPr>
          <w:rFonts w:ascii="Times New Roman" w:eastAsia="Times New Roman" w:hAnsi="Times New Roman" w:cs="Times New Roman"/>
          <w:color w:val="000000" w:themeColor="text1"/>
        </w:rPr>
        <w:t xml:space="preserve"> beyond measurable technical quality. Overall, students’ choices between paid and free versions reflect a complex negotiation among </w:t>
      </w:r>
      <w:r w:rsidRPr="00AF30A8">
        <w:rPr>
          <w:rFonts w:ascii="Times New Roman" w:eastAsia="Times New Roman" w:hAnsi="Times New Roman" w:cs="Times New Roman"/>
          <w:i/>
          <w:color w:val="000000" w:themeColor="text1"/>
        </w:rPr>
        <w:t>Price Value</w:t>
      </w:r>
      <w:r w:rsidRPr="00AF30A8">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i/>
          <w:color w:val="000000" w:themeColor="text1"/>
        </w:rPr>
        <w:t>Effort Expectancy</w:t>
      </w:r>
      <w:r w:rsidRPr="00AF30A8">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i/>
          <w:color w:val="000000" w:themeColor="text1"/>
        </w:rPr>
        <w:t>Hedonic Motivation</w:t>
      </w:r>
      <w:r w:rsidRPr="00AF30A8">
        <w:rPr>
          <w:rFonts w:ascii="Times New Roman" w:eastAsia="Times New Roman" w:hAnsi="Times New Roman" w:cs="Times New Roman"/>
          <w:color w:val="000000" w:themeColor="text1"/>
        </w:rPr>
        <w:t xml:space="preserve">, and </w:t>
      </w:r>
      <w:r w:rsidRPr="00AF30A8">
        <w:rPr>
          <w:rFonts w:ascii="Times New Roman" w:eastAsia="Times New Roman" w:hAnsi="Times New Roman" w:cs="Times New Roman"/>
          <w:i/>
          <w:color w:val="000000" w:themeColor="text1"/>
        </w:rPr>
        <w:t>Social Influence</w:t>
      </w:r>
      <w:r w:rsidRPr="00AF30A8">
        <w:rPr>
          <w:rFonts w:ascii="Times New Roman" w:eastAsia="Times New Roman" w:hAnsi="Times New Roman" w:cs="Times New Roman"/>
          <w:color w:val="000000" w:themeColor="text1"/>
        </w:rPr>
        <w:t>, demonstrating that adoption is shaped not only by functionality and cost but also by social validation, emotional engagement, and structural accessibility.</w:t>
      </w:r>
    </w:p>
    <w:p w14:paraId="28B4E5D5"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3EE1F3F8" w14:textId="77777777" w:rsidR="00932484" w:rsidRPr="00AF30A8" w:rsidRDefault="00000000">
      <w:pPr>
        <w:pBdr>
          <w:top w:val="nil"/>
          <w:left w:val="nil"/>
          <w:bottom w:val="nil"/>
          <w:right w:val="nil"/>
          <w:between w:val="nil"/>
        </w:pBdr>
        <w:spacing w:after="0" w:line="480" w:lineRule="auto"/>
        <w:rPr>
          <w:rFonts w:ascii="Times New Roman" w:eastAsia="Times New Roman" w:hAnsi="Times New Roman" w:cs="Times New Roman"/>
          <w:b/>
          <w:i/>
          <w:color w:val="000000" w:themeColor="text1"/>
        </w:rPr>
      </w:pPr>
      <w:r w:rsidRPr="00AF30A8">
        <w:rPr>
          <w:rFonts w:ascii="Times New Roman" w:eastAsia="Times New Roman" w:hAnsi="Times New Roman" w:cs="Times New Roman"/>
          <w:b/>
          <w:color w:val="000000" w:themeColor="text1"/>
        </w:rPr>
        <w:t>RQ2: How do language proficiency and disciplinary background affect Chinese university students’ patterns of use of global and domestic generative AI tools?</w:t>
      </w:r>
      <w:r w:rsidRPr="00AF30A8">
        <w:rPr>
          <w:rFonts w:ascii="Times New Roman" w:eastAsia="Times New Roman" w:hAnsi="Times New Roman" w:cs="Times New Roman"/>
          <w:b/>
          <w:i/>
          <w:color w:val="000000" w:themeColor="text1"/>
        </w:rPr>
        <w:t xml:space="preserve"> </w:t>
      </w:r>
    </w:p>
    <w:p w14:paraId="7D5957E4" w14:textId="77777777" w:rsidR="00932484" w:rsidRPr="00AF30A8" w:rsidRDefault="00932484">
      <w:pPr>
        <w:pBdr>
          <w:top w:val="nil"/>
          <w:left w:val="nil"/>
          <w:bottom w:val="nil"/>
          <w:right w:val="nil"/>
          <w:between w:val="nil"/>
        </w:pBdr>
        <w:spacing w:after="0" w:line="240" w:lineRule="auto"/>
        <w:rPr>
          <w:rFonts w:ascii="Times New Roman" w:eastAsia="Times New Roman" w:hAnsi="Times New Roman" w:cs="Times New Roman"/>
          <w:b/>
          <w:i/>
          <w:color w:val="000000" w:themeColor="text1"/>
        </w:rPr>
      </w:pPr>
    </w:p>
    <w:p w14:paraId="678DCE1F" w14:textId="77777777" w:rsidR="00932484" w:rsidRPr="00AF30A8" w:rsidRDefault="00000000">
      <w:pPr>
        <w:pBdr>
          <w:top w:val="nil"/>
          <w:left w:val="nil"/>
          <w:bottom w:val="nil"/>
          <w:right w:val="nil"/>
          <w:between w:val="nil"/>
        </w:pBdr>
        <w:spacing w:after="0" w:line="240" w:lineRule="auto"/>
        <w:rPr>
          <w:rFonts w:ascii="Times New Roman" w:eastAsia="Times New Roman" w:hAnsi="Times New Roman" w:cs="Times New Roman"/>
          <w:b/>
          <w:i/>
          <w:color w:val="000000" w:themeColor="text1"/>
        </w:rPr>
      </w:pPr>
      <w:r w:rsidRPr="00AF30A8">
        <w:rPr>
          <w:rFonts w:ascii="Times New Roman" w:eastAsia="Times New Roman" w:hAnsi="Times New Roman" w:cs="Times New Roman"/>
          <w:b/>
          <w:i/>
          <w:color w:val="000000" w:themeColor="text1"/>
        </w:rPr>
        <w:t>Thinking and Communicating in the Most Comfortable Language: Effort Expectancy</w:t>
      </w:r>
    </w:p>
    <w:p w14:paraId="462964B0" w14:textId="77777777" w:rsidR="00932484" w:rsidRPr="00AF30A8" w:rsidRDefault="00932484">
      <w:pPr>
        <w:pBdr>
          <w:top w:val="nil"/>
          <w:left w:val="nil"/>
          <w:bottom w:val="nil"/>
          <w:right w:val="nil"/>
          <w:between w:val="nil"/>
        </w:pBdr>
        <w:spacing w:after="0" w:line="240" w:lineRule="auto"/>
        <w:rPr>
          <w:rFonts w:ascii="Times New Roman" w:eastAsia="Times New Roman" w:hAnsi="Times New Roman" w:cs="Times New Roman"/>
          <w:b/>
          <w:i/>
          <w:color w:val="000000" w:themeColor="text1"/>
          <w:sz w:val="27"/>
          <w:szCs w:val="27"/>
        </w:rPr>
      </w:pPr>
    </w:p>
    <w:p w14:paraId="3D087D38"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Students demonstrate a notable level of strategic behavior when interacting with generative AI tools, particularly in terms of choice between global and domestic platforms, and their use of Chinese versus English. These decisions are influenced by three main factors: language familiarity and habits, the nature of academic tasks, and perceived language capabilities of different AI models.</w:t>
      </w:r>
    </w:p>
    <w:p w14:paraId="09B8998D" w14:textId="77777777" w:rsidR="00932484"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ab/>
        <w:t>All 15 participants identified Chinese as their first and most familiar language, with English as a second language. Some also reported proficiency in additional languages such as Japanese, Spanish, or Latin. Language familiarity and usage habits influenced their engagement with generative AI. The majority (10 participants) used both Chinese and English, indicating a strong bilingual interaction pattern. Three participants primarily used Chinese, and only one relied exclusively on Chinese. One participant mainly used English, while none used English exclusively. This distribution is illustrated in Figure 2.</w:t>
      </w:r>
    </w:p>
    <w:p w14:paraId="09E75F49" w14:textId="77777777" w:rsidR="00AF30A8" w:rsidRPr="00AF30A8" w:rsidRDefault="00AF30A8">
      <w:pPr>
        <w:spacing w:after="0" w:line="480" w:lineRule="auto"/>
        <w:jc w:val="both"/>
        <w:rPr>
          <w:rFonts w:ascii="Times New Roman" w:eastAsia="Times New Roman" w:hAnsi="Times New Roman" w:cs="Times New Roman"/>
          <w:color w:val="000000" w:themeColor="text1"/>
        </w:rPr>
      </w:pPr>
    </w:p>
    <w:p w14:paraId="0C3F3BAE" w14:textId="77777777" w:rsidR="00932484" w:rsidRDefault="00AF30A8">
      <w:pPr>
        <w:spacing w:after="0" w:line="480" w:lineRule="auto"/>
        <w:jc w:val="center"/>
        <w:rPr>
          <w:rFonts w:ascii="Times New Roman" w:eastAsia="Times New Roman" w:hAnsi="Times New Roman" w:cs="Times New Roman"/>
          <w:b/>
          <w:bCs/>
          <w:i/>
          <w:iCs/>
          <w:color w:val="000000" w:themeColor="text1"/>
        </w:rPr>
      </w:pPr>
      <w:r w:rsidRPr="00AF30A8">
        <w:rPr>
          <w:rFonts w:ascii="Times New Roman" w:eastAsia="Times New Roman" w:hAnsi="Times New Roman" w:cs="Times New Roman"/>
          <w:b/>
          <w:bCs/>
          <w:i/>
          <w:iCs/>
          <w:color w:val="000000" w:themeColor="text1"/>
        </w:rPr>
        <w:t xml:space="preserve">See Figure 2 </w:t>
      </w:r>
    </w:p>
    <w:p w14:paraId="70E1329D" w14:textId="77777777" w:rsidR="00AF30A8" w:rsidRPr="00AF30A8" w:rsidRDefault="00AF30A8">
      <w:pPr>
        <w:spacing w:after="0" w:line="480" w:lineRule="auto"/>
        <w:jc w:val="center"/>
        <w:rPr>
          <w:rFonts w:ascii="Times New Roman" w:eastAsia="Times New Roman" w:hAnsi="Times New Roman" w:cs="Times New Roman"/>
          <w:b/>
          <w:bCs/>
          <w:i/>
          <w:iCs/>
          <w:color w:val="000000" w:themeColor="text1"/>
        </w:rPr>
      </w:pPr>
    </w:p>
    <w:p w14:paraId="0A5F97EA"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As </w:t>
      </w:r>
      <w:proofErr w:type="spellStart"/>
      <w:r w:rsidRPr="00AF30A8">
        <w:rPr>
          <w:rFonts w:ascii="Times New Roman" w:eastAsia="Times New Roman" w:hAnsi="Times New Roman" w:cs="Times New Roman"/>
          <w:color w:val="000000" w:themeColor="text1"/>
        </w:rPr>
        <w:t>Maoxin</w:t>
      </w:r>
      <w:proofErr w:type="spellEnd"/>
      <w:r w:rsidRPr="00AF30A8">
        <w:rPr>
          <w:rFonts w:ascii="Times New Roman" w:eastAsia="Times New Roman" w:hAnsi="Times New Roman" w:cs="Times New Roman"/>
          <w:color w:val="000000" w:themeColor="text1"/>
        </w:rPr>
        <w:t xml:space="preserve"> shared, “When brainstorming, I share my thoughts with generative AI, even with ChatGPT, in Chinese because it’s more convenient. After all, it’s my native language. When expressing abstract ideas, using Chinese often feels easier and more natural”. As their mother tongue, Chinese offers students a sense of familiarity and comfort, making it the most convenient and accessible language for communication. This preference reflects students’ comfort with Chinese, which provides lower </w:t>
      </w:r>
      <w:r w:rsidRPr="00AF30A8">
        <w:rPr>
          <w:rFonts w:ascii="Times New Roman" w:eastAsia="Times New Roman" w:hAnsi="Times New Roman" w:cs="Times New Roman"/>
          <w:i/>
          <w:color w:val="000000" w:themeColor="text1"/>
        </w:rPr>
        <w:t>Effort Expectancy</w:t>
      </w:r>
      <w:r w:rsidRPr="00AF30A8">
        <w:rPr>
          <w:rFonts w:ascii="Times New Roman" w:eastAsia="Times New Roman" w:hAnsi="Times New Roman" w:cs="Times New Roman"/>
          <w:color w:val="000000" w:themeColor="text1"/>
        </w:rPr>
        <w:t xml:space="preserve"> and a stronger sense of fluency, especially in informal or creative interactions with generative AI.</w:t>
      </w:r>
    </w:p>
    <w:p w14:paraId="1053AE9F" w14:textId="77777777" w:rsidR="00932484" w:rsidRPr="00AF30A8" w:rsidRDefault="00932484">
      <w:pPr>
        <w:spacing w:after="0" w:line="240" w:lineRule="auto"/>
        <w:rPr>
          <w:rFonts w:ascii="Times New Roman" w:eastAsia="Times New Roman" w:hAnsi="Times New Roman" w:cs="Times New Roman"/>
          <w:color w:val="000000" w:themeColor="text1"/>
        </w:rPr>
      </w:pPr>
    </w:p>
    <w:p w14:paraId="755ECF98" w14:textId="77777777"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b/>
          <w:i/>
          <w:color w:val="000000" w:themeColor="text1"/>
        </w:rPr>
        <w:lastRenderedPageBreak/>
        <w:t xml:space="preserve">Matching Generative AI Tools to Academic Tasks: Performance Expectancy </w:t>
      </w:r>
    </w:p>
    <w:p w14:paraId="514EDF25"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The nature of academic assignments strongly shapes students’ preferences for both languages and generative AI tools. When coursework is closely tied to Western contexts and STEM disciplines, students are more likely to use English to interact with global generative AI. As Luyi explained, “It depends on the type of homework I’m doing. If it’s English-related, such as programming or working with English documents, I naturally think in English and turn to ChatGPT first”.  Similarly, Mei noted, “I use English with ChatGPT, since my core courses in computer science are primarily taught in English, and assignments are also completed in English. Additionally, coding is mostly done in English.” </w:t>
      </w:r>
    </w:p>
    <w:p w14:paraId="59D3820E"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In contrast, students in the humanities preferred domestic generative AI and the Chinese language for academic work. As Yuheng described, “Since I major in the humanities, my classes are conducted in Chinese, and most of the texts I study and use are Chinese literature. As a result, I primarily use Chinese and rely on domestic generative AI.”</w:t>
      </w:r>
      <w:r w:rsidRPr="00AF30A8">
        <w:rPr>
          <w:color w:val="000000" w:themeColor="text1"/>
        </w:rPr>
        <w:t xml:space="preserve"> </w:t>
      </w:r>
      <w:r w:rsidRPr="00AF30A8">
        <w:rPr>
          <w:rFonts w:ascii="Times New Roman" w:eastAsia="Times New Roman" w:hAnsi="Times New Roman" w:cs="Times New Roman"/>
          <w:color w:val="000000" w:themeColor="text1"/>
        </w:rPr>
        <w:t xml:space="preserve">This preference demonstrates how </w:t>
      </w:r>
      <w:r w:rsidRPr="00AF30A8">
        <w:rPr>
          <w:rFonts w:ascii="Times New Roman" w:eastAsia="Times New Roman" w:hAnsi="Times New Roman" w:cs="Times New Roman"/>
          <w:i/>
          <w:color w:val="000000" w:themeColor="text1"/>
        </w:rPr>
        <w:t>Performance Expectancy</w:t>
      </w:r>
      <w:r w:rsidRPr="00AF30A8">
        <w:rPr>
          <w:rFonts w:ascii="Times New Roman" w:eastAsia="Times New Roman" w:hAnsi="Times New Roman" w:cs="Times New Roman"/>
          <w:color w:val="000000" w:themeColor="text1"/>
        </w:rPr>
        <w:t xml:space="preserve"> operates across disciplinary boundaries.</w:t>
      </w:r>
    </w:p>
    <w:p w14:paraId="22313758"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Students’ perceptions of the language proficiency of different generative AI tools further influence their usage behaviors. While benchmark tests show that the English gap between global and domestic models is narrowing, students consistently perceive global generative AI, such as ChatGPT, as stronger in English, and domestic generative AI as superior in Chinese. As </w:t>
      </w:r>
      <w:proofErr w:type="spellStart"/>
      <w:r w:rsidRPr="00AF30A8">
        <w:rPr>
          <w:rFonts w:ascii="Times New Roman" w:eastAsia="Times New Roman" w:hAnsi="Times New Roman" w:cs="Times New Roman"/>
          <w:color w:val="000000" w:themeColor="text1"/>
        </w:rPr>
        <w:t>Xiyan</w:t>
      </w:r>
      <w:proofErr w:type="spellEnd"/>
      <w:r w:rsidRPr="00AF30A8">
        <w:rPr>
          <w:rFonts w:ascii="Times New Roman" w:eastAsia="Times New Roman" w:hAnsi="Times New Roman" w:cs="Times New Roman"/>
          <w:color w:val="000000" w:themeColor="text1"/>
        </w:rPr>
        <w:t xml:space="preserve"> describes, she primarily uses Chinese when interacting with domestic generative AI and switches to English when using ChatGPT. Similarly, Luyi explains:</w:t>
      </w:r>
    </w:p>
    <w:p w14:paraId="5524DFCB" w14:textId="77777777" w:rsidR="00932484" w:rsidRPr="00AF30A8" w:rsidRDefault="00000000">
      <w:pPr>
        <w:spacing w:before="240" w:after="240" w:line="480" w:lineRule="auto"/>
        <w:ind w:left="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I don’t ask questions in Chinese on ChatGPT. If I have a question in Chinese, I prefer to use domestic AI. In terms of English proficiency, domestic models are not as strong as ChatGPT. However, when it comes to Chinese, many domestic models, such as Kimi, </w:t>
      </w:r>
      <w:r w:rsidRPr="00AF30A8">
        <w:rPr>
          <w:rFonts w:ascii="Times New Roman" w:eastAsia="Times New Roman" w:hAnsi="Times New Roman" w:cs="Times New Roman"/>
          <w:color w:val="000000" w:themeColor="text1"/>
        </w:rPr>
        <w:lastRenderedPageBreak/>
        <w:t>outperform ChatGPT. In fact, we have conducted benchmark tests in both English and Chinese to confirm this.</w:t>
      </w:r>
    </w:p>
    <w:p w14:paraId="02AA4AC3"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proofErr w:type="spellStart"/>
      <w:r w:rsidRPr="00AF30A8">
        <w:rPr>
          <w:rFonts w:ascii="Times New Roman" w:eastAsia="Times New Roman" w:hAnsi="Times New Roman" w:cs="Times New Roman"/>
          <w:color w:val="000000" w:themeColor="text1"/>
        </w:rPr>
        <w:t>Yuanfang</w:t>
      </w:r>
      <w:proofErr w:type="spellEnd"/>
      <w:r w:rsidRPr="00AF30A8">
        <w:rPr>
          <w:rFonts w:ascii="Times New Roman" w:eastAsia="Times New Roman" w:hAnsi="Times New Roman" w:cs="Times New Roman"/>
          <w:color w:val="000000" w:themeColor="text1"/>
        </w:rPr>
        <w:t xml:space="preserve"> echoed this view, commenting, “I use ChatGPT to translate English into Chinese, but I feel very disappointed. For example, it repeatedly uses the word ‘</w:t>
      </w:r>
      <w:proofErr w:type="spellStart"/>
      <w:r w:rsidRPr="00AF30A8">
        <w:rPr>
          <w:rFonts w:ascii="Times New Roman" w:eastAsia="Times New Roman" w:hAnsi="Times New Roman" w:cs="Times New Roman"/>
          <w:color w:val="000000" w:themeColor="text1"/>
        </w:rPr>
        <w:t>express’</w:t>
      </w:r>
      <w:proofErr w:type="spellEnd"/>
      <w:r w:rsidRPr="00AF30A8">
        <w:rPr>
          <w:rFonts w:ascii="Times New Roman" w:eastAsia="Times New Roman" w:hAnsi="Times New Roman" w:cs="Times New Roman"/>
          <w:color w:val="000000" w:themeColor="text1"/>
        </w:rPr>
        <w:t xml:space="preserve"> (</w:t>
      </w:r>
      <w:r w:rsidRPr="00AF30A8">
        <w:rPr>
          <w:rFonts w:ascii="SimSun" w:hAnsi="SimSun" w:cs="SimSun"/>
          <w:color w:val="000000" w:themeColor="text1"/>
        </w:rPr>
        <w:t>表</w:t>
      </w:r>
      <w:r w:rsidRPr="00AF30A8">
        <w:rPr>
          <w:rFonts w:ascii="MS Mincho" w:eastAsia="MS Mincho" w:hAnsi="MS Mincho" w:cs="MS Mincho"/>
          <w:color w:val="000000" w:themeColor="text1"/>
        </w:rPr>
        <w:t>达</w:t>
      </w:r>
      <w:r w:rsidRPr="00AF30A8">
        <w:rPr>
          <w:rFonts w:ascii="Times New Roman" w:eastAsia="Times New Roman" w:hAnsi="Times New Roman" w:cs="Times New Roman"/>
          <w:color w:val="000000" w:themeColor="text1"/>
        </w:rPr>
        <w:t>) throughout the entire article without variation. In contrast, domestic generative AI performs better in Chinese translation.”</w:t>
      </w:r>
    </w:p>
    <w:p w14:paraId="5A02D06A"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In summary, students employ multilingual and cross-platform practices, adjusting their language and tool choices based on familiarity, task demands, and perceived model performance. This strategic adaptability exemplifies how </w:t>
      </w:r>
      <w:r w:rsidRPr="00AF30A8">
        <w:rPr>
          <w:rFonts w:ascii="Times New Roman" w:eastAsia="Times New Roman" w:hAnsi="Times New Roman" w:cs="Times New Roman"/>
          <w:i/>
          <w:color w:val="000000" w:themeColor="text1"/>
        </w:rPr>
        <w:t>Performance Expectancy</w:t>
      </w:r>
      <w:r w:rsidRPr="00AF30A8">
        <w:rPr>
          <w:rFonts w:ascii="Times New Roman" w:eastAsia="Times New Roman" w:hAnsi="Times New Roman" w:cs="Times New Roman"/>
          <w:color w:val="000000" w:themeColor="text1"/>
        </w:rPr>
        <w:t xml:space="preserve"> drives students to select the tool they believe will yield the most effective learning outcomes, reflecting the interplay between their bilingual proficiency, academic background, and technical perceptions.</w:t>
      </w:r>
    </w:p>
    <w:p w14:paraId="3902477B"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277D036A" w14:textId="77777777" w:rsidR="00932484" w:rsidRPr="00AF30A8" w:rsidRDefault="00000000">
      <w:pPr>
        <w:spacing w:before="360" w:after="120" w:line="480" w:lineRule="auto"/>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 xml:space="preserve"> RQ3: How do Chinese university students negotiate their engagement with global and domestic generative AI tools within Chinese cultural and ideological contexts?</w:t>
      </w:r>
    </w:p>
    <w:p w14:paraId="01F8C929" w14:textId="77777777" w:rsidR="00932484" w:rsidRPr="00AF30A8" w:rsidRDefault="00000000">
      <w:pPr>
        <w:pBdr>
          <w:top w:val="nil"/>
          <w:left w:val="nil"/>
          <w:bottom w:val="nil"/>
          <w:right w:val="nil"/>
          <w:between w:val="nil"/>
        </w:pBdr>
        <w:spacing w:after="0" w:line="240" w:lineRule="auto"/>
        <w:rPr>
          <w:rFonts w:ascii="Times New Roman" w:eastAsia="Times New Roman" w:hAnsi="Times New Roman" w:cs="Times New Roman"/>
          <w:b/>
          <w:i/>
          <w:color w:val="000000" w:themeColor="text1"/>
        </w:rPr>
      </w:pPr>
      <w:r w:rsidRPr="00AF30A8">
        <w:rPr>
          <w:rFonts w:ascii="Times New Roman" w:eastAsia="Times New Roman" w:hAnsi="Times New Roman" w:cs="Times New Roman"/>
          <w:b/>
          <w:i/>
          <w:color w:val="000000" w:themeColor="text1"/>
        </w:rPr>
        <w:t>Perceiving the Limits of Global Generative AI in Chinese Cultural Contexts</w:t>
      </w:r>
    </w:p>
    <w:p w14:paraId="4049E098" w14:textId="77777777" w:rsidR="00932484" w:rsidRPr="00AF30A8" w:rsidRDefault="00932484">
      <w:pPr>
        <w:pBdr>
          <w:top w:val="nil"/>
          <w:left w:val="nil"/>
          <w:bottom w:val="nil"/>
          <w:right w:val="nil"/>
          <w:between w:val="nil"/>
        </w:pBdr>
        <w:spacing w:after="0" w:line="240" w:lineRule="auto"/>
        <w:rPr>
          <w:rFonts w:ascii="Times New Roman" w:eastAsia="Times New Roman" w:hAnsi="Times New Roman" w:cs="Times New Roman"/>
          <w:b/>
          <w:i/>
          <w:color w:val="000000" w:themeColor="text1"/>
          <w:sz w:val="27"/>
          <w:szCs w:val="27"/>
        </w:rPr>
      </w:pPr>
    </w:p>
    <w:p w14:paraId="6D39F19F"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Higher education in China is deeply rooted in both the country’s traditional cultural heritage and its contemporary political framework, specifically socialism with Chinese Characteristics (Zhu </w:t>
      </w:r>
      <w:r w:rsidR="00DB7D67">
        <w:rPr>
          <w:rFonts w:ascii="Times New Roman" w:eastAsia="Times New Roman" w:hAnsi="Times New Roman" w:cs="Times New Roman"/>
          <w:color w:val="000000" w:themeColor="text1"/>
        </w:rPr>
        <w:t>and</w:t>
      </w:r>
      <w:r w:rsidRPr="00AF30A8">
        <w:rPr>
          <w:rFonts w:ascii="Times New Roman" w:eastAsia="Times New Roman" w:hAnsi="Times New Roman" w:cs="Times New Roman"/>
          <w:color w:val="000000" w:themeColor="text1"/>
        </w:rPr>
        <w:t xml:space="preserve"> Li 2018). We first examine students’ experiences using global and domestic generative AI when engaging with traditional Chinese culture in Chinese higher education. The following section will then explore the ideological context of socialism with Chinese characteristics.</w:t>
      </w:r>
    </w:p>
    <w:p w14:paraId="62F75FC3"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lastRenderedPageBreak/>
        <w:t>Traditional Chinese culture, rooted in philosophies like Confucianism and Taoism, encompasses art, festivals, medicine, and values such as harmony and family, forming a rich heritage that continues to influence and inspire Chinese higher education (Gu</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2006). This cultural foundation is deeply embedded in courses such as traditional Chinese literature, Chinese philosophy, and Chinese painting (Zhang 2024). It is therefore unsurprising that students increasingly rely on generative AI for support in completing assignments related to traditional Chinese culture.</w:t>
      </w:r>
    </w:p>
    <w:p w14:paraId="4721B78C"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Based on participants’ responses, global generative AI seems to struggle with accurately interpreting traditional Chinese culture. As </w:t>
      </w:r>
      <w:proofErr w:type="spellStart"/>
      <w:r w:rsidRPr="00AF30A8">
        <w:rPr>
          <w:rFonts w:ascii="Times New Roman" w:eastAsia="Times New Roman" w:hAnsi="Times New Roman" w:cs="Times New Roman"/>
          <w:color w:val="000000" w:themeColor="text1"/>
        </w:rPr>
        <w:t>Qiji</w:t>
      </w:r>
      <w:proofErr w:type="spellEnd"/>
      <w:r w:rsidRPr="00AF30A8">
        <w:rPr>
          <w:rFonts w:ascii="Times New Roman" w:eastAsia="Times New Roman" w:hAnsi="Times New Roman" w:cs="Times New Roman"/>
          <w:color w:val="000000" w:themeColor="text1"/>
        </w:rPr>
        <w:t xml:space="preserve"> noted, “I asked ChatGPT to help with my homework on Chinese philosophy, but it had no real understanding of key concepts such as ‘Tao’ (</w:t>
      </w:r>
      <w:r w:rsidRPr="00AF30A8">
        <w:rPr>
          <w:rFonts w:ascii="SimSun" w:hAnsi="SimSun" w:cs="SimSun"/>
          <w:color w:val="000000" w:themeColor="text1"/>
        </w:rPr>
        <w:t>道</w:t>
      </w:r>
      <w:r w:rsidRPr="00AF30A8">
        <w:rPr>
          <w:rFonts w:ascii="Times New Roman" w:eastAsia="Times New Roman" w:hAnsi="Times New Roman" w:cs="Times New Roman"/>
          <w:color w:val="000000" w:themeColor="text1"/>
        </w:rPr>
        <w:t>), ‘Benevolence’ (</w:t>
      </w:r>
      <w:r w:rsidRPr="00AF30A8">
        <w:rPr>
          <w:rFonts w:ascii="SimSun" w:hAnsi="SimSun" w:cs="SimSun"/>
          <w:color w:val="000000" w:themeColor="text1"/>
        </w:rPr>
        <w:t>仁</w:t>
      </w:r>
      <w:r w:rsidRPr="00AF30A8">
        <w:rPr>
          <w:rFonts w:ascii="Times New Roman" w:eastAsia="Times New Roman" w:hAnsi="Times New Roman" w:cs="Times New Roman"/>
          <w:color w:val="000000" w:themeColor="text1"/>
        </w:rPr>
        <w:t>), and ‘Filial Piety’ (</w:t>
      </w:r>
      <w:r w:rsidRPr="00AF30A8">
        <w:rPr>
          <w:rFonts w:ascii="SimSun" w:hAnsi="SimSun" w:cs="SimSun"/>
          <w:color w:val="000000" w:themeColor="text1"/>
        </w:rPr>
        <w:t>孝</w:t>
      </w:r>
      <w:r w:rsidRPr="00AF30A8">
        <w:rPr>
          <w:rFonts w:ascii="Times New Roman" w:eastAsia="Times New Roman" w:hAnsi="Times New Roman" w:cs="Times New Roman"/>
          <w:color w:val="000000" w:themeColor="text1"/>
        </w:rPr>
        <w:t xml:space="preserve">).” Similarly, </w:t>
      </w:r>
      <w:proofErr w:type="spellStart"/>
      <w:r w:rsidRPr="00AF30A8">
        <w:rPr>
          <w:rFonts w:ascii="Times New Roman" w:eastAsia="Times New Roman" w:hAnsi="Times New Roman" w:cs="Times New Roman"/>
          <w:color w:val="000000" w:themeColor="text1"/>
        </w:rPr>
        <w:t>Zhaolan</w:t>
      </w:r>
      <w:proofErr w:type="spellEnd"/>
      <w:r w:rsidRPr="00AF30A8">
        <w:rPr>
          <w:rFonts w:ascii="Times New Roman" w:eastAsia="Times New Roman" w:hAnsi="Times New Roman" w:cs="Times New Roman"/>
          <w:color w:val="000000" w:themeColor="text1"/>
        </w:rPr>
        <w:t xml:space="preserve"> illustrates:</w:t>
      </w:r>
    </w:p>
    <w:p w14:paraId="738B4B6D"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41D97F12" w14:textId="77777777" w:rsidR="00932484" w:rsidRPr="00AF30A8" w:rsidRDefault="00000000">
      <w:pPr>
        <w:spacing w:after="0" w:line="480" w:lineRule="auto"/>
        <w:ind w:left="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Blank space </w:t>
      </w:r>
      <w:sdt>
        <w:sdtPr>
          <w:rPr>
            <w:color w:val="000000" w:themeColor="text1"/>
          </w:rPr>
          <w:tag w:val="goog_rdk_0"/>
          <w:id w:val="1760549660"/>
        </w:sdtPr>
        <w:sdtContent>
          <w:r w:rsidRPr="00AF30A8">
            <w:rPr>
              <w:rFonts w:ascii="Gungsuh" w:eastAsia="Gungsuh" w:hAnsi="Gungsuh" w:cs="Gungsuh"/>
              <w:color w:val="000000" w:themeColor="text1"/>
            </w:rPr>
            <w:t>(留白)</w:t>
          </w:r>
        </w:sdtContent>
      </w:sdt>
      <w:r w:rsidRPr="00AF30A8">
        <w:rPr>
          <w:rFonts w:ascii="Times New Roman" w:eastAsia="Times New Roman" w:hAnsi="Times New Roman" w:cs="Times New Roman"/>
          <w:color w:val="000000" w:themeColor="text1"/>
        </w:rPr>
        <w:t xml:space="preserve"> is a distinctive feature of Chinese painting, reflecting Taoist philosophy, traditional aesthetics, and national identity. Unlike the subdued elegance of Chinese art, I found AI-generated works from ChatGPT and Midjourney disappointing. They resembled Western oil paintings, lacked blank space, and used overly bright colors, despite my detailed prompts.</w:t>
      </w:r>
    </w:p>
    <w:p w14:paraId="4FECB3B9" w14:textId="77777777" w:rsidR="00932484" w:rsidRPr="00AF30A8" w:rsidRDefault="00932484">
      <w:pPr>
        <w:spacing w:after="0" w:line="480" w:lineRule="auto"/>
        <w:ind w:left="720"/>
        <w:jc w:val="both"/>
        <w:rPr>
          <w:rFonts w:ascii="Times New Roman" w:eastAsia="Times New Roman" w:hAnsi="Times New Roman" w:cs="Times New Roman"/>
          <w:color w:val="000000" w:themeColor="text1"/>
        </w:rPr>
      </w:pPr>
    </w:p>
    <w:p w14:paraId="46B7A669"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Conversely, since domestic generative AIs are trained on a larger dataset with Chinese contextual information, they have a better understanding of content related to traditional Chinese culture (</w:t>
      </w:r>
      <w:r w:rsidRPr="00AF30A8">
        <w:rPr>
          <w:rFonts w:ascii="Times New Roman" w:eastAsia="Times New Roman" w:hAnsi="Times New Roman" w:cs="Times New Roman"/>
          <w:color w:val="000000" w:themeColor="text1"/>
          <w:highlight w:val="white"/>
        </w:rPr>
        <w:t>Zhang et al.</w:t>
      </w:r>
      <w:r w:rsidR="00DB7D67">
        <w:rPr>
          <w:rFonts w:ascii="Times New Roman" w:eastAsia="Times New Roman" w:hAnsi="Times New Roman" w:cs="Times New Roman"/>
          <w:color w:val="000000" w:themeColor="text1"/>
          <w:highlight w:val="white"/>
        </w:rPr>
        <w:t xml:space="preserve"> </w:t>
      </w:r>
      <w:r w:rsidRPr="00AF30A8">
        <w:rPr>
          <w:rFonts w:ascii="Times New Roman" w:eastAsia="Times New Roman" w:hAnsi="Times New Roman" w:cs="Times New Roman"/>
          <w:color w:val="000000" w:themeColor="text1"/>
          <w:highlight w:val="white"/>
        </w:rPr>
        <w:t>2023)</w:t>
      </w:r>
      <w:r w:rsidRPr="00AF30A8">
        <w:rPr>
          <w:rFonts w:ascii="Times New Roman" w:eastAsia="Times New Roman" w:hAnsi="Times New Roman" w:cs="Times New Roman"/>
          <w:color w:val="000000" w:themeColor="text1"/>
        </w:rPr>
        <w:t xml:space="preserve">. This finding aligns with benchmark test results showing that domestic models outperform their global counterparts on Chinese language–related tasks. “Domestic generative AI often creates overly scholarly content for traditional Chinese culture assignments. </w:t>
      </w:r>
      <w:r w:rsidRPr="00AF30A8">
        <w:rPr>
          <w:rFonts w:ascii="Times New Roman" w:eastAsia="Times New Roman" w:hAnsi="Times New Roman" w:cs="Times New Roman"/>
          <w:color w:val="000000" w:themeColor="text1"/>
        </w:rPr>
        <w:lastRenderedPageBreak/>
        <w:t xml:space="preserve">For example, when describing a Fujian ancient building, the output felt excessively refined and antique, as if written by someone deeply versed in classical literature”, </w:t>
      </w:r>
      <w:proofErr w:type="spellStart"/>
      <w:r w:rsidRPr="00AF30A8">
        <w:rPr>
          <w:rFonts w:ascii="Times New Roman" w:eastAsia="Times New Roman" w:hAnsi="Times New Roman" w:cs="Times New Roman"/>
          <w:color w:val="000000" w:themeColor="text1"/>
        </w:rPr>
        <w:t>Xunfei</w:t>
      </w:r>
      <w:proofErr w:type="spellEnd"/>
      <w:r w:rsidRPr="00AF30A8">
        <w:rPr>
          <w:rFonts w:ascii="Times New Roman" w:eastAsia="Times New Roman" w:hAnsi="Times New Roman" w:cs="Times New Roman"/>
          <w:color w:val="000000" w:themeColor="text1"/>
        </w:rPr>
        <w:t xml:space="preserve"> shared. Students tend to rely more on domestic generative AI for assignments or learning related to traditional Chinese culture.</w:t>
      </w:r>
    </w:p>
    <w:p w14:paraId="0E77DAB2" w14:textId="77777777" w:rsidR="00932484" w:rsidRPr="00AF30A8" w:rsidRDefault="00000000">
      <w:pPr>
        <w:spacing w:before="320" w:after="80" w:line="480" w:lineRule="auto"/>
        <w:jc w:val="both"/>
        <w:rPr>
          <w:rFonts w:ascii="Times New Roman" w:eastAsia="Times New Roman" w:hAnsi="Times New Roman" w:cs="Times New Roman"/>
          <w:b/>
          <w:color w:val="000000" w:themeColor="text1"/>
          <w:sz w:val="27"/>
          <w:szCs w:val="27"/>
        </w:rPr>
      </w:pPr>
      <w:r w:rsidRPr="00AF30A8">
        <w:rPr>
          <w:rFonts w:ascii="Times New Roman" w:eastAsia="Times New Roman" w:hAnsi="Times New Roman" w:cs="Times New Roman"/>
          <w:b/>
          <w:i/>
          <w:color w:val="000000" w:themeColor="text1"/>
        </w:rPr>
        <w:t>Engaging with Domestic Generative AI in Socialism with Chinese Characteristics </w:t>
      </w:r>
    </w:p>
    <w:p w14:paraId="270D9C42" w14:textId="77777777"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ab/>
        <w:t>The ideology of Socialism with Chinese Characteristics is embedded in the higher education curriculum. Where all Chinese college students, for example, are required to take ideological courses, such as Maoism and Marxism (Wang</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2024). These courses typically involve assignments that require students to submit reflection reports on ideological topics. Within this academic context, global generative AI often struggles to meet students’ </w:t>
      </w:r>
      <w:r w:rsidRPr="00AF30A8">
        <w:rPr>
          <w:rFonts w:ascii="Times New Roman" w:eastAsia="Times New Roman" w:hAnsi="Times New Roman" w:cs="Times New Roman"/>
          <w:i/>
          <w:color w:val="000000" w:themeColor="text1"/>
        </w:rPr>
        <w:t>Performance Expectancy</w:t>
      </w:r>
      <w:r w:rsidRPr="00AF30A8">
        <w:rPr>
          <w:rFonts w:ascii="Times New Roman" w:eastAsia="Times New Roman" w:hAnsi="Times New Roman" w:cs="Times New Roman"/>
          <w:color w:val="000000" w:themeColor="text1"/>
        </w:rPr>
        <w:t xml:space="preserve">. As </w:t>
      </w:r>
      <w:proofErr w:type="spellStart"/>
      <w:r w:rsidRPr="00AF30A8">
        <w:rPr>
          <w:rFonts w:ascii="Times New Roman" w:eastAsia="Times New Roman" w:hAnsi="Times New Roman" w:cs="Times New Roman"/>
          <w:color w:val="000000" w:themeColor="text1"/>
        </w:rPr>
        <w:t>Xiaoxue</w:t>
      </w:r>
      <w:proofErr w:type="spellEnd"/>
      <w:r w:rsidRPr="00AF30A8">
        <w:rPr>
          <w:rFonts w:ascii="Times New Roman" w:eastAsia="Times New Roman" w:hAnsi="Times New Roman" w:cs="Times New Roman"/>
          <w:color w:val="000000" w:themeColor="text1"/>
        </w:rPr>
        <w:t xml:space="preserve"> described, “When I used GPT for areas that strongly reflect socialism with Chinese characteristics, the output often felt somewhat off. It carried a distinctly Western tone that did not align with the intended context.”</w:t>
      </w:r>
    </w:p>
    <w:p w14:paraId="50304F4A" w14:textId="77777777" w:rsidR="00932484" w:rsidRPr="00AF30A8" w:rsidRDefault="00000000">
      <w:pPr>
        <w:spacing w:before="10"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ab/>
        <w:t>In contrast, domestic generative AI demonstrates superior performance compared to global generative AI when handling tasks related to Socialism with Chinese Characteristics. As Yuyan highlights, “When working on assignments related to Socialism with Chinese Characteristics, I find that using domestic generative AI is much more convenient.”</w:t>
      </w:r>
    </w:p>
    <w:p w14:paraId="685EB660" w14:textId="77777777" w:rsidR="00932484" w:rsidRPr="00AF30A8" w:rsidRDefault="00000000">
      <w:pPr>
        <w:spacing w:before="10"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Although domestic generative AI tools are better in handling tasks related to Socialism with Chinese Characteristics, they come with a notable limitation. These models are programmed with predefined restrictions on sensitive and censored terms, making them incapable of processing tasks that involve such content. As </w:t>
      </w:r>
      <w:proofErr w:type="spellStart"/>
      <w:r w:rsidRPr="00AF30A8">
        <w:rPr>
          <w:rFonts w:ascii="Times New Roman" w:eastAsia="Times New Roman" w:hAnsi="Times New Roman" w:cs="Times New Roman"/>
          <w:color w:val="000000" w:themeColor="text1"/>
        </w:rPr>
        <w:t>Yalin</w:t>
      </w:r>
      <w:proofErr w:type="spellEnd"/>
      <w:r w:rsidRPr="00AF30A8">
        <w:rPr>
          <w:rFonts w:ascii="Times New Roman" w:eastAsia="Times New Roman" w:hAnsi="Times New Roman" w:cs="Times New Roman"/>
          <w:color w:val="000000" w:themeColor="text1"/>
        </w:rPr>
        <w:t xml:space="preserve"> noted, “While working on my homework, I encountered certain politically sensitive words, and domestic generative AI would either indicate that they were </w:t>
      </w:r>
      <w:r w:rsidRPr="00AF30A8">
        <w:rPr>
          <w:rFonts w:ascii="Times New Roman" w:eastAsia="Times New Roman" w:hAnsi="Times New Roman" w:cs="Times New Roman"/>
          <w:color w:val="000000" w:themeColor="text1"/>
        </w:rPr>
        <w:lastRenderedPageBreak/>
        <w:t>unable to generate content containing those terms or state that they could not address the topic altogether.”</w:t>
      </w:r>
    </w:p>
    <w:p w14:paraId="148781AE" w14:textId="77777777" w:rsidR="00932484" w:rsidRPr="00AF30A8" w:rsidRDefault="00000000">
      <w:pPr>
        <w:spacing w:before="10"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Accordingly, students are more likely to use domestic generative AI for assignments or learning related to traditional Chinese culture and socialism with Chinese characteristics due to the varying </w:t>
      </w:r>
      <w:r w:rsidRPr="00AF30A8">
        <w:rPr>
          <w:rFonts w:ascii="Times New Roman" w:eastAsia="Times New Roman" w:hAnsi="Times New Roman" w:cs="Times New Roman"/>
          <w:i/>
          <w:color w:val="000000" w:themeColor="text1"/>
        </w:rPr>
        <w:t>Performance Expectancy</w:t>
      </w:r>
      <w:r w:rsidRPr="00AF30A8">
        <w:rPr>
          <w:rFonts w:ascii="Times New Roman" w:eastAsia="Times New Roman" w:hAnsi="Times New Roman" w:cs="Times New Roman"/>
          <w:color w:val="000000" w:themeColor="text1"/>
        </w:rPr>
        <w:t xml:space="preserve"> of different models. </w:t>
      </w:r>
    </w:p>
    <w:p w14:paraId="2D86ACE8" w14:textId="77777777" w:rsidR="00932484" w:rsidRPr="00AF30A8" w:rsidRDefault="00932484">
      <w:pPr>
        <w:spacing w:before="10" w:after="0" w:line="480" w:lineRule="auto"/>
        <w:ind w:firstLine="720"/>
        <w:jc w:val="both"/>
        <w:rPr>
          <w:rFonts w:ascii="Times New Roman" w:eastAsia="Times New Roman" w:hAnsi="Times New Roman" w:cs="Times New Roman"/>
          <w:color w:val="000000" w:themeColor="text1"/>
        </w:rPr>
      </w:pPr>
    </w:p>
    <w:p w14:paraId="22A3F8B4" w14:textId="77777777" w:rsidR="00932484" w:rsidRPr="00AF30A8" w:rsidRDefault="00000000">
      <w:pPr>
        <w:spacing w:before="360" w:after="120" w:line="480" w:lineRule="auto"/>
        <w:rPr>
          <w:rFonts w:ascii="Times New Roman" w:eastAsia="Times New Roman" w:hAnsi="Times New Roman" w:cs="Times New Roman"/>
          <w:b/>
          <w:color w:val="000000" w:themeColor="text1"/>
          <w:sz w:val="36"/>
          <w:szCs w:val="36"/>
        </w:rPr>
      </w:pPr>
      <w:r w:rsidRPr="00AF30A8">
        <w:rPr>
          <w:rFonts w:ascii="Times New Roman" w:eastAsia="Times New Roman" w:hAnsi="Times New Roman" w:cs="Times New Roman"/>
          <w:b/>
          <w:color w:val="000000" w:themeColor="text1"/>
        </w:rPr>
        <w:t>Beyond the Core Research Questions: Students’ Emotional and Cognitive Responses to Generative AI </w:t>
      </w:r>
    </w:p>
    <w:p w14:paraId="0788E29E" w14:textId="77777777" w:rsidR="00932484" w:rsidRPr="00AF30A8" w:rsidRDefault="00000000">
      <w:pPr>
        <w:pBdr>
          <w:top w:val="nil"/>
          <w:left w:val="nil"/>
          <w:bottom w:val="nil"/>
          <w:right w:val="nil"/>
          <w:between w:val="nil"/>
        </w:pBdr>
        <w:spacing w:after="0" w:line="240" w:lineRule="auto"/>
        <w:rPr>
          <w:rFonts w:ascii="Times New Roman" w:eastAsia="Times New Roman" w:hAnsi="Times New Roman" w:cs="Times New Roman"/>
          <w:b/>
          <w:i/>
          <w:color w:val="000000" w:themeColor="text1"/>
        </w:rPr>
      </w:pPr>
      <w:r w:rsidRPr="00AF30A8">
        <w:rPr>
          <w:rFonts w:ascii="Times New Roman" w:eastAsia="Times New Roman" w:hAnsi="Times New Roman" w:cs="Times New Roman"/>
          <w:b/>
          <w:i/>
          <w:color w:val="000000" w:themeColor="text1"/>
        </w:rPr>
        <w:t>Attitudes Toward Generative AI: “Please / Thank you” or “Do it” </w:t>
      </w:r>
    </w:p>
    <w:p w14:paraId="296A76FB" w14:textId="77777777" w:rsidR="00932484" w:rsidRPr="00AF30A8" w:rsidRDefault="00932484">
      <w:pPr>
        <w:pBdr>
          <w:top w:val="nil"/>
          <w:left w:val="nil"/>
          <w:bottom w:val="nil"/>
          <w:right w:val="nil"/>
          <w:between w:val="nil"/>
        </w:pBdr>
        <w:spacing w:after="0" w:line="240" w:lineRule="auto"/>
        <w:rPr>
          <w:rFonts w:ascii="Times New Roman" w:eastAsia="Times New Roman" w:hAnsi="Times New Roman" w:cs="Times New Roman"/>
          <w:b/>
          <w:i/>
          <w:color w:val="000000" w:themeColor="text1"/>
          <w:sz w:val="27"/>
          <w:szCs w:val="27"/>
        </w:rPr>
      </w:pPr>
    </w:p>
    <w:p w14:paraId="74633BC5"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Generative AI is reshaping behavioral modeling and learning practices in higher education (Chen et al., 2024). But how do students perceive this transformative technology? Is it simply an advanced machine, or something more (Xie</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2024)? Within the UTAUT2, attitude toward use, influenced by </w:t>
      </w:r>
      <w:r w:rsidRPr="00AF30A8">
        <w:rPr>
          <w:rFonts w:ascii="Times New Roman" w:eastAsia="Times New Roman" w:hAnsi="Times New Roman" w:cs="Times New Roman"/>
          <w:i/>
          <w:color w:val="000000" w:themeColor="text1"/>
        </w:rPr>
        <w:t>Hedonic Motivation</w:t>
      </w:r>
      <w:r w:rsidRPr="00AF30A8">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i/>
          <w:color w:val="000000" w:themeColor="text1"/>
        </w:rPr>
        <w:t>Habit,</w:t>
      </w:r>
      <w:r w:rsidRPr="00AF30A8">
        <w:rPr>
          <w:rFonts w:ascii="Times New Roman" w:eastAsia="Times New Roman" w:hAnsi="Times New Roman" w:cs="Times New Roman"/>
          <w:color w:val="000000" w:themeColor="text1"/>
        </w:rPr>
        <w:t xml:space="preserve"> and </w:t>
      </w:r>
      <w:r w:rsidRPr="00AF30A8">
        <w:rPr>
          <w:rFonts w:ascii="Times New Roman" w:eastAsia="Times New Roman" w:hAnsi="Times New Roman" w:cs="Times New Roman"/>
          <w:i/>
          <w:color w:val="000000" w:themeColor="text1"/>
        </w:rPr>
        <w:t>Social Influence</w:t>
      </w:r>
      <w:r w:rsidRPr="00AF30A8">
        <w:rPr>
          <w:rFonts w:ascii="Times New Roman" w:eastAsia="Times New Roman" w:hAnsi="Times New Roman" w:cs="Times New Roman"/>
          <w:color w:val="000000" w:themeColor="text1"/>
        </w:rPr>
        <w:t xml:space="preserve">, is central to understanding why and how individuals adopt and sustain technology use.  </w:t>
      </w:r>
    </w:p>
    <w:p w14:paraId="1DF8E470"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Among participants, six students described it purely as a machine, four as both a machine and assistant, two as an assistant, two as a friend, and one as co-learner. Students viewing generative AI as a machine often emphasize its functional limits, while others acknowledge emotional or interactive value. As Liqiu shared, “I see it as a tool, but sometimes I feel guilty when it does too much for me.” Similarly, Mei noted that ChatGPT’s human-like responses “sometimes make it feel kind and pleasant.” These reflections illustrate </w:t>
      </w:r>
      <w:r w:rsidRPr="00AF30A8">
        <w:rPr>
          <w:rFonts w:ascii="Times New Roman" w:eastAsia="Times New Roman" w:hAnsi="Times New Roman" w:cs="Times New Roman"/>
          <w:i/>
          <w:color w:val="000000" w:themeColor="text1"/>
        </w:rPr>
        <w:t>Hedonic Motivation</w:t>
      </w:r>
      <w:r w:rsidRPr="00AF30A8">
        <w:rPr>
          <w:rFonts w:ascii="Times New Roman" w:eastAsia="Times New Roman" w:hAnsi="Times New Roman" w:cs="Times New Roman"/>
          <w:color w:val="000000" w:themeColor="text1"/>
        </w:rPr>
        <w:t>, where emotional satisfaction emerges even when users remain aware of AI’s mechanical nature.</w:t>
      </w:r>
    </w:p>
    <w:p w14:paraId="70605781" w14:textId="77777777"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ab/>
        <w:t xml:space="preserve">This emotional dimension also surfaced in interactional language. Nearly all participants, except two, reported using polite expressions such as “please” and “thank you” when </w:t>
      </w:r>
      <w:r w:rsidRPr="00AF30A8">
        <w:rPr>
          <w:rFonts w:ascii="Times New Roman" w:eastAsia="Times New Roman" w:hAnsi="Times New Roman" w:cs="Times New Roman"/>
          <w:color w:val="000000" w:themeColor="text1"/>
        </w:rPr>
        <w:lastRenderedPageBreak/>
        <w:t xml:space="preserve">communicating with generative AI. As </w:t>
      </w:r>
      <w:proofErr w:type="spellStart"/>
      <w:r w:rsidRPr="00AF30A8">
        <w:rPr>
          <w:rFonts w:ascii="Times New Roman" w:eastAsia="Times New Roman" w:hAnsi="Times New Roman" w:cs="Times New Roman"/>
          <w:color w:val="000000" w:themeColor="text1"/>
        </w:rPr>
        <w:t>Xiyan</w:t>
      </w:r>
      <w:proofErr w:type="spellEnd"/>
      <w:r w:rsidRPr="00AF30A8">
        <w:rPr>
          <w:rFonts w:ascii="Times New Roman" w:eastAsia="Times New Roman" w:hAnsi="Times New Roman" w:cs="Times New Roman"/>
          <w:color w:val="000000" w:themeColor="text1"/>
        </w:rPr>
        <w:t xml:space="preserve"> explained, “I don’t know why, but every time I ask a question, I always say ‘please’ and ‘thank you.’ One day, I realized this and felt strange. I even asked it why I said ‘please.’” Students gave varied explanations: some cited politeness or habit, others superstition, and a few joked that respect might make the system “perform better.” As </w:t>
      </w:r>
      <w:proofErr w:type="spellStart"/>
      <w:r w:rsidRPr="00AF30A8">
        <w:rPr>
          <w:rFonts w:ascii="Times New Roman" w:eastAsia="Times New Roman" w:hAnsi="Times New Roman" w:cs="Times New Roman"/>
          <w:color w:val="000000" w:themeColor="text1"/>
        </w:rPr>
        <w:t>Maoxin</w:t>
      </w:r>
      <w:proofErr w:type="spellEnd"/>
      <w:r w:rsidRPr="00AF30A8">
        <w:rPr>
          <w:rFonts w:ascii="Times New Roman" w:eastAsia="Times New Roman" w:hAnsi="Times New Roman" w:cs="Times New Roman"/>
          <w:color w:val="000000" w:themeColor="text1"/>
        </w:rPr>
        <w:t xml:space="preserve"> humorously said, “When I need its help, I sometimes even beg. It’s a psychological action and a fun part of the process.” Similarly, </w:t>
      </w:r>
      <w:proofErr w:type="spellStart"/>
      <w:r w:rsidRPr="00AF30A8">
        <w:rPr>
          <w:rFonts w:ascii="Times New Roman" w:eastAsia="Times New Roman" w:hAnsi="Times New Roman" w:cs="Times New Roman"/>
          <w:color w:val="000000" w:themeColor="text1"/>
        </w:rPr>
        <w:t>Sijia</w:t>
      </w:r>
      <w:proofErr w:type="spellEnd"/>
      <w:r w:rsidRPr="00AF30A8">
        <w:rPr>
          <w:rFonts w:ascii="Times New Roman" w:eastAsia="Times New Roman" w:hAnsi="Times New Roman" w:cs="Times New Roman"/>
          <w:color w:val="000000" w:themeColor="text1"/>
        </w:rPr>
        <w:t xml:space="preserve"> observed, “Unlike using Baidu before, just opening a chat window with generative AI makes me feel like I should interact more formally.” Yuyan added with a science-fiction twist, “Just like in The Machine, when robots rebelled, I survived because I always said ‘please’ to them.”</w:t>
      </w:r>
    </w:p>
    <w:p w14:paraId="3B09E042"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These accounts demonstrate how </w:t>
      </w:r>
      <w:r w:rsidRPr="00AF30A8">
        <w:rPr>
          <w:rFonts w:ascii="Times New Roman" w:eastAsia="Times New Roman" w:hAnsi="Times New Roman" w:cs="Times New Roman"/>
          <w:i/>
          <w:color w:val="000000" w:themeColor="text1"/>
        </w:rPr>
        <w:t>Habit</w:t>
      </w:r>
      <w:r w:rsidRPr="00AF30A8">
        <w:rPr>
          <w:rFonts w:ascii="Times New Roman" w:eastAsia="Times New Roman" w:hAnsi="Times New Roman" w:cs="Times New Roman"/>
          <w:color w:val="000000" w:themeColor="text1"/>
        </w:rPr>
        <w:t xml:space="preserve"> and </w:t>
      </w:r>
      <w:r w:rsidRPr="00AF30A8">
        <w:rPr>
          <w:rFonts w:ascii="Times New Roman" w:eastAsia="Times New Roman" w:hAnsi="Times New Roman" w:cs="Times New Roman"/>
          <w:i/>
          <w:color w:val="000000" w:themeColor="text1"/>
        </w:rPr>
        <w:t>Social Influence</w:t>
      </w:r>
      <w:r w:rsidRPr="00AF30A8">
        <w:rPr>
          <w:rFonts w:ascii="Times New Roman" w:eastAsia="Times New Roman" w:hAnsi="Times New Roman" w:cs="Times New Roman"/>
          <w:color w:val="000000" w:themeColor="text1"/>
        </w:rPr>
        <w:t xml:space="preserve"> extend beyond functionality to shape affective interaction patterns. Students mirror culturally ingrained politeness norms, anthropomorphizing AI through social scripts typically reserved for human relationships. The gradual shift from issuing direct commands (“do it”) to expressing courtesy (“please,” “thank you”) signals the emergence of emotional trust and relational co-agency. This suggests that effective integration of generative AI in higher education depends not only on technical performance but also on cultivating cultural and emotional resonance between humans and machines.</w:t>
      </w:r>
    </w:p>
    <w:p w14:paraId="04ED0924"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1484504B" w14:textId="77777777" w:rsidR="00932484" w:rsidRPr="00AF30A8" w:rsidRDefault="00000000">
      <w:pPr>
        <w:spacing w:before="320" w:after="80" w:line="480" w:lineRule="auto"/>
        <w:jc w:val="both"/>
        <w:rPr>
          <w:rFonts w:ascii="Times New Roman" w:eastAsia="Times New Roman" w:hAnsi="Times New Roman" w:cs="Times New Roman"/>
          <w:b/>
          <w:color w:val="000000" w:themeColor="text1"/>
          <w:sz w:val="27"/>
          <w:szCs w:val="27"/>
        </w:rPr>
      </w:pPr>
      <w:r w:rsidRPr="00AF30A8">
        <w:rPr>
          <w:rFonts w:ascii="Times New Roman" w:eastAsia="Times New Roman" w:hAnsi="Times New Roman" w:cs="Times New Roman"/>
          <w:b/>
          <w:i/>
          <w:color w:val="000000" w:themeColor="text1"/>
        </w:rPr>
        <w:t>Confidence or Anxiety in the Age of Generative AI</w:t>
      </w:r>
    </w:p>
    <w:p w14:paraId="33091926"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Students’ feelings of confidence and anxiety toward global and domestic generative AI reflect the dynamic interplay of </w:t>
      </w:r>
      <w:r w:rsidRPr="00AF30A8">
        <w:rPr>
          <w:rFonts w:ascii="Times New Roman" w:eastAsia="Times New Roman" w:hAnsi="Times New Roman" w:cs="Times New Roman"/>
          <w:i/>
          <w:color w:val="000000" w:themeColor="text1"/>
        </w:rPr>
        <w:t>Performance Expectancy, Hedonic Motivation, and Social Influence</w:t>
      </w:r>
      <w:r w:rsidRPr="00AF30A8">
        <w:rPr>
          <w:rFonts w:ascii="Times New Roman" w:eastAsia="Times New Roman" w:hAnsi="Times New Roman" w:cs="Times New Roman"/>
          <w:color w:val="000000" w:themeColor="text1"/>
        </w:rPr>
        <w:t xml:space="preserve"> within the UTAUT2 framework. Confidence was generally stronger in relation to learning enhancement than to grade improvement. Most participants doubted that generative AI </w:t>
      </w:r>
      <w:r w:rsidRPr="00AF30A8">
        <w:rPr>
          <w:rFonts w:ascii="Times New Roman" w:eastAsia="Times New Roman" w:hAnsi="Times New Roman" w:cs="Times New Roman"/>
          <w:color w:val="000000" w:themeColor="text1"/>
        </w:rPr>
        <w:lastRenderedPageBreak/>
        <w:t>could directly raise academic scores but believed it improved efficiency and understanding that saves time and supports reflection.</w:t>
      </w:r>
    </w:p>
    <w:p w14:paraId="7F16A0B7"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However, when discussing career development, anxiety became more pronounced. Several students worried about being replaced by AI or facing intensified competition. </w:t>
      </w:r>
      <w:proofErr w:type="spellStart"/>
      <w:r w:rsidRPr="00AF30A8">
        <w:rPr>
          <w:rFonts w:ascii="Times New Roman" w:eastAsia="Times New Roman" w:hAnsi="Times New Roman" w:cs="Times New Roman"/>
          <w:color w:val="000000" w:themeColor="text1"/>
        </w:rPr>
        <w:t>Sijia</w:t>
      </w:r>
      <w:proofErr w:type="spellEnd"/>
      <w:r w:rsidRPr="00AF30A8">
        <w:rPr>
          <w:rFonts w:ascii="Times New Roman" w:eastAsia="Times New Roman" w:hAnsi="Times New Roman" w:cs="Times New Roman"/>
          <w:color w:val="000000" w:themeColor="text1"/>
        </w:rPr>
        <w:t xml:space="preserve"> reflected, “It influences my career choice. Now I have to prepare for a job that’s less likely to be replaced.” </w:t>
      </w:r>
      <w:proofErr w:type="spellStart"/>
      <w:r w:rsidRPr="00AF30A8">
        <w:rPr>
          <w:rFonts w:ascii="Times New Roman" w:eastAsia="Times New Roman" w:hAnsi="Times New Roman" w:cs="Times New Roman"/>
          <w:color w:val="000000" w:themeColor="text1"/>
        </w:rPr>
        <w:t>Yalin</w:t>
      </w:r>
      <w:proofErr w:type="spellEnd"/>
      <w:r w:rsidRPr="00AF30A8">
        <w:rPr>
          <w:rFonts w:ascii="Times New Roman" w:eastAsia="Times New Roman" w:hAnsi="Times New Roman" w:cs="Times New Roman"/>
          <w:color w:val="000000" w:themeColor="text1"/>
        </w:rPr>
        <w:t xml:space="preserve"> expressed similar concern: “If AI becomes advanced enough, it might analyze medical images or even diagnose conditions. That could affect my employment as a future doctor.” Luyi added that “the real pressure comes not from AI itself, but from the increasing number of developers entering the field.” These anxieties reflect a tension between anticipated benefits (</w:t>
      </w:r>
      <w:r w:rsidRPr="00AF30A8">
        <w:rPr>
          <w:rFonts w:ascii="Times New Roman" w:eastAsia="Times New Roman" w:hAnsi="Times New Roman" w:cs="Times New Roman"/>
          <w:i/>
          <w:color w:val="000000" w:themeColor="text1"/>
        </w:rPr>
        <w:t>Performance Expectancy</w:t>
      </w:r>
      <w:r w:rsidRPr="00AF30A8">
        <w:rPr>
          <w:rFonts w:ascii="Times New Roman" w:eastAsia="Times New Roman" w:hAnsi="Times New Roman" w:cs="Times New Roman"/>
          <w:color w:val="000000" w:themeColor="text1"/>
        </w:rPr>
        <w:t>) and emotional unease (</w:t>
      </w:r>
      <w:r w:rsidRPr="00AF30A8">
        <w:rPr>
          <w:rFonts w:ascii="Times New Roman" w:eastAsia="Times New Roman" w:hAnsi="Times New Roman" w:cs="Times New Roman"/>
          <w:i/>
          <w:color w:val="000000" w:themeColor="text1"/>
        </w:rPr>
        <w:t>Hedonic Motivation</w:t>
      </w:r>
      <w:r w:rsidRPr="00AF30A8">
        <w:rPr>
          <w:rFonts w:ascii="Times New Roman" w:eastAsia="Times New Roman" w:hAnsi="Times New Roman" w:cs="Times New Roman"/>
          <w:color w:val="000000" w:themeColor="text1"/>
        </w:rPr>
        <w:t>), revealing how expectations of progress coexist with fear of displacement.</w:t>
      </w:r>
    </w:p>
    <w:p w14:paraId="22208B7C"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Interestingly, students’ perceptions diverged by discipline. STEM students often worried about the employment future of humanities peers, while humanities students expressed the opposite concern. Yuheng argued, “AI may become highly intelligent, but it cannot replace humanistic care. Society will still need people in the humanities.” Conversely, Luyi contended, “Generative AI is more likely to replace liberal arts students, while STEM majors are relatively safe for now.” Yet, when reflecting collectively, both groups expressed cautious optimism, believing their fields would adapt to AI in distinct ways.</w:t>
      </w:r>
    </w:p>
    <w:p w14:paraId="5593E964"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Overall, students’ confidence and anxiety coexist as dual aspects of technology acceptance. Confidence reflects </w:t>
      </w:r>
      <w:r w:rsidRPr="00AF30A8">
        <w:rPr>
          <w:rFonts w:ascii="Times New Roman" w:eastAsia="Times New Roman" w:hAnsi="Times New Roman" w:cs="Times New Roman"/>
          <w:i/>
          <w:color w:val="000000" w:themeColor="text1"/>
        </w:rPr>
        <w:t>Performance Expectancy</w:t>
      </w:r>
      <w:r w:rsidRPr="00AF30A8">
        <w:rPr>
          <w:rFonts w:ascii="Times New Roman" w:eastAsia="Times New Roman" w:hAnsi="Times New Roman" w:cs="Times New Roman"/>
          <w:color w:val="000000" w:themeColor="text1"/>
        </w:rPr>
        <w:t xml:space="preserve">—the belief that AI can enhance learning and productivity—while anxiety emerges from social comparison and shifting norms shaped by </w:t>
      </w:r>
      <w:r w:rsidRPr="00AF30A8">
        <w:rPr>
          <w:rFonts w:ascii="Times New Roman" w:eastAsia="Times New Roman" w:hAnsi="Times New Roman" w:cs="Times New Roman"/>
          <w:i/>
          <w:color w:val="000000" w:themeColor="text1"/>
        </w:rPr>
        <w:t>Social Influence</w:t>
      </w:r>
      <w:r w:rsidRPr="00AF30A8">
        <w:rPr>
          <w:rFonts w:ascii="Times New Roman" w:eastAsia="Times New Roman" w:hAnsi="Times New Roman" w:cs="Times New Roman"/>
          <w:color w:val="000000" w:themeColor="text1"/>
        </w:rPr>
        <w:t xml:space="preserve">. Together, these emotional responses highlight that adoption of generative AI in higher education is not purely functional but deeply psychological and relational, requiring ongoing </w:t>
      </w:r>
      <w:r w:rsidRPr="00AF30A8">
        <w:rPr>
          <w:rFonts w:ascii="Times New Roman" w:eastAsia="Times New Roman" w:hAnsi="Times New Roman" w:cs="Times New Roman"/>
          <w:color w:val="000000" w:themeColor="text1"/>
        </w:rPr>
        <w:lastRenderedPageBreak/>
        <w:t>negotiation between motivation, expectation, and adaptation. This finding is surprising, as it challenges the common research assumption that STEM students benefit more in the AI era (</w:t>
      </w:r>
      <w:r w:rsidRPr="00AF30A8">
        <w:rPr>
          <w:rFonts w:ascii="Times New Roman" w:eastAsia="Times New Roman" w:hAnsi="Times New Roman" w:cs="Times New Roman"/>
          <w:color w:val="000000" w:themeColor="text1"/>
          <w:highlight w:val="white"/>
        </w:rPr>
        <w:t xml:space="preserve">Corrales-Herrero </w:t>
      </w:r>
      <w:r w:rsidR="00DB7D67">
        <w:rPr>
          <w:rFonts w:ascii="Times New Roman" w:eastAsia="Times New Roman" w:hAnsi="Times New Roman" w:cs="Times New Roman"/>
          <w:color w:val="000000" w:themeColor="text1"/>
          <w:highlight w:val="white"/>
        </w:rPr>
        <w:t>and</w:t>
      </w:r>
      <w:r w:rsidRPr="00AF30A8">
        <w:rPr>
          <w:rFonts w:ascii="Times New Roman" w:eastAsia="Times New Roman" w:hAnsi="Times New Roman" w:cs="Times New Roman"/>
          <w:color w:val="000000" w:themeColor="text1"/>
          <w:highlight w:val="white"/>
        </w:rPr>
        <w:t xml:space="preserve"> Rodríguez-Prado, 2024; Okrent </w:t>
      </w:r>
      <w:r w:rsidR="00DB7D67">
        <w:rPr>
          <w:rFonts w:ascii="Times New Roman" w:eastAsia="Times New Roman" w:hAnsi="Times New Roman" w:cs="Times New Roman"/>
          <w:color w:val="000000" w:themeColor="text1"/>
          <w:highlight w:val="white"/>
        </w:rPr>
        <w:t>and</w:t>
      </w:r>
      <w:r w:rsidRPr="00AF30A8">
        <w:rPr>
          <w:rFonts w:ascii="Times New Roman" w:eastAsia="Times New Roman" w:hAnsi="Times New Roman" w:cs="Times New Roman"/>
          <w:color w:val="000000" w:themeColor="text1"/>
          <w:highlight w:val="white"/>
        </w:rPr>
        <w:t xml:space="preserve"> Burke, 2021). </w:t>
      </w:r>
    </w:p>
    <w:p w14:paraId="266D76E6"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507719AA" w14:textId="77777777" w:rsidR="00932484" w:rsidRPr="00AF30A8" w:rsidRDefault="00000000">
      <w:pPr>
        <w:spacing w:before="360" w:after="120" w:line="480" w:lineRule="auto"/>
        <w:jc w:val="center"/>
        <w:rPr>
          <w:rFonts w:ascii="Times New Roman" w:eastAsia="Times New Roman" w:hAnsi="Times New Roman" w:cs="Times New Roman"/>
          <w:b/>
          <w:color w:val="000000" w:themeColor="text1"/>
          <w:sz w:val="36"/>
          <w:szCs w:val="36"/>
        </w:rPr>
      </w:pPr>
      <w:r w:rsidRPr="00AF30A8">
        <w:rPr>
          <w:rFonts w:ascii="Times New Roman" w:eastAsia="Times New Roman" w:hAnsi="Times New Roman" w:cs="Times New Roman"/>
          <w:b/>
          <w:color w:val="000000" w:themeColor="text1"/>
        </w:rPr>
        <w:t>Discussion and Implications</w:t>
      </w:r>
    </w:p>
    <w:p w14:paraId="04206CDF" w14:textId="77777777" w:rsidR="00932484" w:rsidRPr="00AF30A8" w:rsidRDefault="00000000">
      <w:pPr>
        <w:pBdr>
          <w:top w:val="nil"/>
          <w:left w:val="nil"/>
          <w:bottom w:val="nil"/>
          <w:right w:val="nil"/>
          <w:between w:val="nil"/>
        </w:pBdr>
        <w:spacing w:after="0" w:line="240" w:lineRule="auto"/>
        <w:rPr>
          <w:rFonts w:ascii="Times New Roman" w:eastAsia="Times New Roman" w:hAnsi="Times New Roman" w:cs="Times New Roman"/>
          <w:b/>
          <w:color w:val="000000" w:themeColor="text1"/>
        </w:rPr>
      </w:pPr>
      <w:r w:rsidRPr="00AF30A8">
        <w:rPr>
          <w:rFonts w:ascii="Times New Roman" w:eastAsia="Times New Roman" w:hAnsi="Times New Roman" w:cs="Times New Roman"/>
          <w:b/>
          <w:color w:val="000000" w:themeColor="text1"/>
        </w:rPr>
        <w:t>The Assurance of Equitable Access to Free and Open-source Generative AI </w:t>
      </w:r>
    </w:p>
    <w:p w14:paraId="6AFD5FE1" w14:textId="77777777" w:rsidR="00932484" w:rsidRPr="00AF30A8" w:rsidRDefault="00932484">
      <w:pPr>
        <w:pBdr>
          <w:top w:val="nil"/>
          <w:left w:val="nil"/>
          <w:bottom w:val="nil"/>
          <w:right w:val="nil"/>
          <w:between w:val="nil"/>
        </w:pBdr>
        <w:spacing w:after="0" w:line="240" w:lineRule="auto"/>
        <w:rPr>
          <w:rFonts w:ascii="Times New Roman" w:eastAsia="Times New Roman" w:hAnsi="Times New Roman" w:cs="Times New Roman"/>
          <w:b/>
          <w:color w:val="000000" w:themeColor="text1"/>
          <w:sz w:val="27"/>
          <w:szCs w:val="27"/>
        </w:rPr>
      </w:pPr>
    </w:p>
    <w:p w14:paraId="155435C6" w14:textId="5296D2EE"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ab/>
        <w:t>In today’s rapidly evolving digital landscape, the rise of generative AI is transforming how students communicate, think, and create. However, this study’s interviews reveal that access to these generative AIs remains deeply uneven, further widening the existing digital divide (</w:t>
      </w:r>
      <w:proofErr w:type="spellStart"/>
      <w:r w:rsidRPr="00AF30A8">
        <w:rPr>
          <w:rFonts w:ascii="Times New Roman" w:eastAsia="Times New Roman" w:hAnsi="Times New Roman" w:cs="Times New Roman"/>
          <w:color w:val="000000" w:themeColor="text1"/>
        </w:rPr>
        <w:t>Hendawy</w:t>
      </w:r>
      <w:proofErr w:type="spellEnd"/>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2024). The digital divide stems from multiple factors. Political constraints can hinder students from countries such as China, Russia, and Iran from accessing global generative AI. Economic barriers, including subscription fees and high monthly costs, further restrict students’ access to advanced versions of generative AI, particularly on a global scale. In response, Chinese students frequently described needing to share accounts, rely on friends abroad, or use VPNs to gain global access or navigate legal grey areas, practices that not only raise privacy and ethical concerns but also exacerbate the digital gap. Additionally, infrastructure limitations play a role, as certain communities face restricted access due to domain limitations and internet censorship (</w:t>
      </w:r>
      <w:proofErr w:type="spellStart"/>
      <w:r w:rsidRPr="00AF30A8">
        <w:rPr>
          <w:rFonts w:ascii="Times New Roman" w:eastAsia="Times New Roman" w:hAnsi="Times New Roman" w:cs="Times New Roman"/>
          <w:color w:val="000000" w:themeColor="text1"/>
        </w:rPr>
        <w:t>Ragnedda</w:t>
      </w:r>
      <w:proofErr w:type="spellEnd"/>
      <w:r w:rsidRPr="00AF30A8">
        <w:rPr>
          <w:rFonts w:ascii="Times New Roman" w:eastAsia="Times New Roman" w:hAnsi="Times New Roman" w:cs="Times New Roman"/>
          <w:color w:val="000000" w:themeColor="text1"/>
        </w:rPr>
        <w:t xml:space="preserve"> </w:t>
      </w:r>
      <w:r w:rsidR="00DB7D67">
        <w:rPr>
          <w:rFonts w:ascii="Times New Roman" w:eastAsia="Times New Roman" w:hAnsi="Times New Roman" w:cs="Times New Roman"/>
          <w:color w:val="000000" w:themeColor="text1"/>
        </w:rPr>
        <w:t xml:space="preserve">and </w:t>
      </w:r>
      <w:proofErr w:type="spellStart"/>
      <w:r w:rsidRPr="00AF30A8">
        <w:rPr>
          <w:rFonts w:ascii="Times New Roman" w:eastAsia="Times New Roman" w:hAnsi="Times New Roman" w:cs="Times New Roman"/>
          <w:color w:val="000000" w:themeColor="text1"/>
        </w:rPr>
        <w:t>Ragnedda</w:t>
      </w:r>
      <w:proofErr w:type="spellEnd"/>
      <w:r w:rsidRPr="00AF30A8">
        <w:rPr>
          <w:rFonts w:ascii="Times New Roman" w:eastAsia="Times New Roman" w:hAnsi="Times New Roman" w:cs="Times New Roman"/>
          <w:color w:val="000000" w:themeColor="text1"/>
        </w:rPr>
        <w:t xml:space="preserve"> 2020). The challenges faced by Chinese students from urban, prestigious universities in accessing global generative AI are not isolated; they are likely even more severe for students from rural areas and less prestigious institutions in China, as well as for learners in similar contexts worldwide.   </w:t>
      </w:r>
    </w:p>
    <w:p w14:paraId="5A9FAA25" w14:textId="77777777"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       Universities and policymakers in China and beyond could address these frictions by subsidizing institutional AI access, establishing secure university-based proxy systems, or </w:t>
      </w:r>
      <w:r w:rsidRPr="00AF30A8">
        <w:rPr>
          <w:rFonts w:ascii="Times New Roman" w:eastAsia="Times New Roman" w:hAnsi="Times New Roman" w:cs="Times New Roman"/>
          <w:color w:val="000000" w:themeColor="text1"/>
        </w:rPr>
        <w:lastRenderedPageBreak/>
        <w:t>negotiating domestic-global data-sharing partnerships that ensure compliant yet open educational use. To foster equitable and responsible learning environments, ensuring open and unrestricted access to generative AI for all students is essential.</w:t>
      </w:r>
    </w:p>
    <w:p w14:paraId="3A4F36A4" w14:textId="77777777" w:rsidR="00932484" w:rsidRPr="00AF30A8" w:rsidRDefault="00932484">
      <w:pPr>
        <w:spacing w:after="0" w:line="480" w:lineRule="auto"/>
        <w:jc w:val="both"/>
        <w:rPr>
          <w:rFonts w:ascii="Times New Roman" w:eastAsia="Times New Roman" w:hAnsi="Times New Roman" w:cs="Times New Roman"/>
          <w:color w:val="000000" w:themeColor="text1"/>
        </w:rPr>
      </w:pPr>
    </w:p>
    <w:p w14:paraId="0BF00C52" w14:textId="77777777" w:rsidR="00932484" w:rsidRPr="00AF30A8" w:rsidRDefault="00000000">
      <w:pPr>
        <w:spacing w:before="320" w:after="80" w:line="480" w:lineRule="auto"/>
        <w:jc w:val="both"/>
        <w:rPr>
          <w:rFonts w:ascii="Times New Roman" w:eastAsia="Times New Roman" w:hAnsi="Times New Roman" w:cs="Times New Roman"/>
          <w:b/>
          <w:color w:val="000000" w:themeColor="text1"/>
          <w:sz w:val="27"/>
          <w:szCs w:val="27"/>
        </w:rPr>
      </w:pPr>
      <w:r w:rsidRPr="00AF30A8">
        <w:rPr>
          <w:rFonts w:ascii="Times New Roman" w:eastAsia="Times New Roman" w:hAnsi="Times New Roman" w:cs="Times New Roman"/>
          <w:b/>
          <w:color w:val="000000" w:themeColor="text1"/>
        </w:rPr>
        <w:t>The Imperative for Non-English Generative AI  </w:t>
      </w:r>
    </w:p>
    <w:p w14:paraId="131557FE" w14:textId="77777777"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ab/>
        <w:t>Generative AI faces a significant language challenge, as English remains the dominant language in its development and application (Choudhury</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2023). The widespread use of English in generative AI can marginalize non-English languages, limiting access to educational content for indigenous and less widely spoken languages speakers and potentially hindering their ability to learn in their native tongue (</w:t>
      </w:r>
      <w:proofErr w:type="spellStart"/>
      <w:r w:rsidRPr="00AF30A8">
        <w:rPr>
          <w:rFonts w:ascii="Times New Roman" w:eastAsia="Times New Roman" w:hAnsi="Times New Roman" w:cs="Times New Roman"/>
          <w:color w:val="000000" w:themeColor="text1"/>
        </w:rPr>
        <w:t>Nyaaba</w:t>
      </w:r>
      <w:proofErr w:type="spellEnd"/>
      <w:r w:rsidRPr="00AF30A8">
        <w:rPr>
          <w:rFonts w:ascii="Times New Roman" w:eastAsia="Times New Roman" w:hAnsi="Times New Roman" w:cs="Times New Roman"/>
          <w:color w:val="000000" w:themeColor="text1"/>
        </w:rPr>
        <w:t xml:space="preserve">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2024). This study finds that domestic generative AI outperforms global generative AI in the Chinese language, providing students with viable alternatives to integrate domestic AI tools into their learning processes. Chinese students reported switching between global and domestic generative AIs depending on tasks. Using global generative AI for STEM and English writing, and domestic generative AI for ideologically sensitive or localized content. </w:t>
      </w:r>
    </w:p>
    <w:p w14:paraId="34DD7993"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However, China and Silicon Valley are two leading AI superpowers (Lee</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2018). The benchmark tests also approve the power of Chinese domestic models. In contrast, many non-English-speaking nations lack the technological and economic resources to develop generative AI tailored to their linguistic needs. As </w:t>
      </w:r>
      <w:proofErr w:type="spellStart"/>
      <w:r w:rsidRPr="00AF30A8">
        <w:rPr>
          <w:rFonts w:ascii="Times New Roman" w:eastAsia="Times New Roman" w:hAnsi="Times New Roman" w:cs="Times New Roman"/>
          <w:color w:val="000000" w:themeColor="text1"/>
        </w:rPr>
        <w:t>Nyaaba</w:t>
      </w:r>
      <w:proofErr w:type="spellEnd"/>
      <w:r w:rsidRPr="00AF30A8">
        <w:rPr>
          <w:rFonts w:ascii="Times New Roman" w:eastAsia="Times New Roman" w:hAnsi="Times New Roman" w:cs="Times New Roman"/>
          <w:color w:val="000000" w:themeColor="text1"/>
        </w:rPr>
        <w:t xml:space="preserve"> et al. (2024) warn, “this may inadvertently marginalize indigenous and minority languages, potentially accelerating language erosion and the dilution of cultural heritage among certain minoritized groups” (p. 9). </w:t>
      </w:r>
    </w:p>
    <w:p w14:paraId="2F8DCF20"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To harness generative AI for inclusive societal transformation in higher education, it is essential to invest in and enhance non-English generative AI at both global and domestic </w:t>
      </w:r>
      <w:r w:rsidRPr="00AF30A8">
        <w:rPr>
          <w:rFonts w:ascii="Times New Roman" w:eastAsia="Times New Roman" w:hAnsi="Times New Roman" w:cs="Times New Roman"/>
          <w:color w:val="000000" w:themeColor="text1"/>
        </w:rPr>
        <w:lastRenderedPageBreak/>
        <w:t xml:space="preserve">levels. Universities could invest in multilingual AI literacy training and cross-institutional partnerships to improve open datasets in non-English languages. Policymakers might also incentivize domestic international collaboration in multilingual model development, ensuring that generative AI supports linguistic diversity rather than reinforcing English-centric hegemony. For developing regions, this would mean not only access to technology but access in one’s own language, a foundational condition for equitable AI adoption in higher education. </w:t>
      </w:r>
    </w:p>
    <w:p w14:paraId="6E4FC67B"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057E3DF2" w14:textId="77777777" w:rsidR="00932484" w:rsidRPr="00AF30A8" w:rsidRDefault="00932484">
      <w:pPr>
        <w:spacing w:after="0" w:line="240" w:lineRule="auto"/>
        <w:rPr>
          <w:rFonts w:ascii="Times New Roman" w:eastAsia="Times New Roman" w:hAnsi="Times New Roman" w:cs="Times New Roman"/>
          <w:color w:val="000000" w:themeColor="text1"/>
        </w:rPr>
      </w:pPr>
    </w:p>
    <w:p w14:paraId="571B178C" w14:textId="77777777" w:rsidR="00932484" w:rsidRPr="00AF30A8" w:rsidRDefault="00000000">
      <w:pPr>
        <w:spacing w:after="0" w:line="240" w:lineRule="auto"/>
        <w:rPr>
          <w:rFonts w:ascii="Times New Roman" w:eastAsia="Times New Roman" w:hAnsi="Times New Roman" w:cs="Times New Roman"/>
          <w:color w:val="000000" w:themeColor="text1"/>
        </w:rPr>
      </w:pPr>
      <w:r w:rsidRPr="00AF30A8">
        <w:rPr>
          <w:rFonts w:ascii="Times New Roman" w:eastAsia="Times New Roman" w:hAnsi="Times New Roman" w:cs="Times New Roman"/>
          <w:b/>
          <w:color w:val="000000" w:themeColor="text1"/>
        </w:rPr>
        <w:t>The Necessity of Generative AI</w:t>
      </w:r>
      <w:r w:rsidRPr="00AF30A8">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b/>
          <w:color w:val="000000" w:themeColor="text1"/>
        </w:rPr>
        <w:t>with Local Cultural Awareness</w:t>
      </w:r>
    </w:p>
    <w:p w14:paraId="45633D43" w14:textId="77777777" w:rsidR="00932484" w:rsidRPr="00AF30A8" w:rsidRDefault="00000000">
      <w:pPr>
        <w:spacing w:after="0" w:line="240" w:lineRule="auto"/>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ab/>
      </w:r>
    </w:p>
    <w:p w14:paraId="0B32004B"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highlight w:val="white"/>
        </w:rPr>
      </w:pPr>
      <w:r w:rsidRPr="00AF30A8">
        <w:rPr>
          <w:rFonts w:ascii="Times New Roman" w:eastAsia="Times New Roman" w:hAnsi="Times New Roman" w:cs="Times New Roman"/>
          <w:color w:val="000000" w:themeColor="text1"/>
        </w:rPr>
        <w:t>Participants also identified a persistent cultural gap in generative AI’s responses, particularly regarding Chinese history, political ideology, and cultural values. Global generative AI encounters difficulty in understanding traditional Chinese culture and Socialism with Chinese Characteristics in this study, similarly in West Africa, Central America, Southeast Asia, and other contexts (</w:t>
      </w:r>
      <w:proofErr w:type="spellStart"/>
      <w:r w:rsidRPr="00AF30A8">
        <w:rPr>
          <w:rFonts w:ascii="Times New Roman" w:eastAsia="Times New Roman" w:hAnsi="Times New Roman" w:cs="Times New Roman"/>
          <w:color w:val="000000" w:themeColor="text1"/>
        </w:rPr>
        <w:t>Nyaaba</w:t>
      </w:r>
      <w:proofErr w:type="spellEnd"/>
      <w:r w:rsidRPr="00AF30A8">
        <w:rPr>
          <w:rFonts w:ascii="Times New Roman" w:eastAsia="Times New Roman" w:hAnsi="Times New Roman" w:cs="Times New Roman"/>
          <w:color w:val="000000" w:themeColor="text1"/>
        </w:rPr>
        <w:t xml:space="preserve"> et al.</w:t>
      </w:r>
      <w:r w:rsidR="00DB7D67">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color w:val="000000" w:themeColor="text1"/>
        </w:rPr>
        <w:t xml:space="preserve">2024). </w:t>
      </w:r>
      <w:r w:rsidRPr="00AF30A8">
        <w:rPr>
          <w:rFonts w:ascii="Times New Roman" w:eastAsia="Times New Roman" w:hAnsi="Times New Roman" w:cs="Times New Roman"/>
          <w:color w:val="000000" w:themeColor="text1"/>
          <w:highlight w:val="white"/>
        </w:rPr>
        <w:t>These cultural biases can exclude students from diverse cultural backgrounds by providing examples that fail to align with their lived experiences and environments (Mollema</w:t>
      </w:r>
      <w:r w:rsidR="00DB7D67">
        <w:rPr>
          <w:rFonts w:ascii="Times New Roman" w:eastAsia="Times New Roman" w:hAnsi="Times New Roman" w:cs="Times New Roman"/>
          <w:color w:val="000000" w:themeColor="text1"/>
          <w:highlight w:val="white"/>
        </w:rPr>
        <w:t xml:space="preserve"> </w:t>
      </w:r>
      <w:r w:rsidRPr="00AF30A8">
        <w:rPr>
          <w:rFonts w:ascii="Times New Roman" w:eastAsia="Times New Roman" w:hAnsi="Times New Roman" w:cs="Times New Roman"/>
          <w:color w:val="000000" w:themeColor="text1"/>
          <w:highlight w:val="white"/>
        </w:rPr>
        <w:t xml:space="preserve">2024). This form of cultural dominance risks marginalizing non-Western perspectives in educational content, ultimately diminishing its relevance and effectiveness for students from underrepresented backgrounds. </w:t>
      </w:r>
    </w:p>
    <w:p w14:paraId="184205A1" w14:textId="1E6DE2E6" w:rsidR="00932484" w:rsidRPr="00AF30A8" w:rsidRDefault="00000000">
      <w:pPr>
        <w:spacing w:after="0" w:line="480" w:lineRule="auto"/>
        <w:ind w:firstLine="720"/>
        <w:jc w:val="both"/>
        <w:rPr>
          <w:rFonts w:ascii="Times New Roman" w:eastAsia="Times New Roman" w:hAnsi="Times New Roman" w:cs="Times New Roman"/>
          <w:color w:val="000000" w:themeColor="text1"/>
          <w:highlight w:val="white"/>
        </w:rPr>
      </w:pPr>
      <w:r w:rsidRPr="00AF30A8">
        <w:rPr>
          <w:rFonts w:ascii="Times New Roman" w:eastAsia="Times New Roman" w:hAnsi="Times New Roman" w:cs="Times New Roman"/>
          <w:color w:val="000000" w:themeColor="text1"/>
          <w:highlight w:val="white"/>
        </w:rPr>
        <w:t xml:space="preserve">The challenge is not merely linguistic or cultural but epistemological. Since </w:t>
      </w:r>
      <w:r w:rsidRPr="00AF30A8">
        <w:rPr>
          <w:rFonts w:ascii="Times New Roman" w:eastAsia="Times New Roman" w:hAnsi="Times New Roman" w:cs="Times New Roman"/>
          <w:color w:val="000000" w:themeColor="text1"/>
        </w:rPr>
        <w:t>generative AI is primarily trained on data from Western sources, it may unintentionally emphasize Western perspectives, values, and ideologies (</w:t>
      </w:r>
      <w:r w:rsidRPr="00AF30A8">
        <w:rPr>
          <w:rFonts w:ascii="Times New Roman" w:eastAsia="Times New Roman" w:hAnsi="Times New Roman" w:cs="Times New Roman"/>
          <w:color w:val="000000" w:themeColor="text1"/>
          <w:highlight w:val="white"/>
        </w:rPr>
        <w:t>Brand</w:t>
      </w:r>
      <w:r w:rsidR="00DB7D67">
        <w:rPr>
          <w:rFonts w:ascii="Times New Roman" w:eastAsia="Times New Roman" w:hAnsi="Times New Roman" w:cs="Times New Roman"/>
          <w:color w:val="000000" w:themeColor="text1"/>
          <w:highlight w:val="white"/>
        </w:rPr>
        <w:t xml:space="preserve"> </w:t>
      </w:r>
      <w:r w:rsidRPr="00AF30A8">
        <w:rPr>
          <w:rFonts w:ascii="Times New Roman" w:eastAsia="Times New Roman" w:hAnsi="Times New Roman" w:cs="Times New Roman"/>
          <w:color w:val="000000" w:themeColor="text1"/>
          <w:highlight w:val="white"/>
        </w:rPr>
        <w:t>2023). Scholars have critiqued generative AI as a tool of “AI Empire” (</w:t>
      </w:r>
      <w:proofErr w:type="spellStart"/>
      <w:r w:rsidRPr="00AF30A8">
        <w:rPr>
          <w:rFonts w:ascii="Times New Roman" w:eastAsia="Times New Roman" w:hAnsi="Times New Roman" w:cs="Times New Roman"/>
          <w:color w:val="000000" w:themeColor="text1"/>
          <w:highlight w:val="white"/>
        </w:rPr>
        <w:t>Tacheva</w:t>
      </w:r>
      <w:proofErr w:type="spellEnd"/>
      <w:r w:rsidRPr="00AF30A8">
        <w:rPr>
          <w:rFonts w:ascii="Times New Roman" w:eastAsia="Times New Roman" w:hAnsi="Times New Roman" w:cs="Times New Roman"/>
          <w:color w:val="000000" w:themeColor="text1"/>
          <w:highlight w:val="white"/>
        </w:rPr>
        <w:t xml:space="preserve"> </w:t>
      </w:r>
      <w:r w:rsidR="00DB7D67">
        <w:rPr>
          <w:rFonts w:ascii="Times New Roman" w:eastAsia="Times New Roman" w:hAnsi="Times New Roman" w:cs="Times New Roman"/>
          <w:color w:val="000000" w:themeColor="text1"/>
          <w:highlight w:val="white"/>
        </w:rPr>
        <w:t>and</w:t>
      </w:r>
      <w:r w:rsidRPr="00AF30A8">
        <w:rPr>
          <w:rFonts w:ascii="Times New Roman" w:eastAsia="Times New Roman" w:hAnsi="Times New Roman" w:cs="Times New Roman"/>
          <w:color w:val="000000" w:themeColor="text1"/>
          <w:highlight w:val="white"/>
        </w:rPr>
        <w:t xml:space="preserve"> Ramasubramanian</w:t>
      </w:r>
      <w:r w:rsidR="00B64D0F">
        <w:rPr>
          <w:rFonts w:ascii="Times New Roman" w:eastAsia="Times New Roman" w:hAnsi="Times New Roman" w:cs="Times New Roman"/>
          <w:color w:val="000000" w:themeColor="text1"/>
          <w:highlight w:val="white"/>
        </w:rPr>
        <w:t xml:space="preserve"> </w:t>
      </w:r>
      <w:r w:rsidRPr="00AF30A8">
        <w:rPr>
          <w:rFonts w:ascii="Times New Roman" w:eastAsia="Times New Roman" w:hAnsi="Times New Roman" w:cs="Times New Roman"/>
          <w:color w:val="000000" w:themeColor="text1"/>
          <w:highlight w:val="white"/>
        </w:rPr>
        <w:t>2023) and “Digital Neocolonialism” (Arora et al.</w:t>
      </w:r>
      <w:r w:rsidR="00DB7D67">
        <w:rPr>
          <w:rFonts w:ascii="Times New Roman" w:eastAsia="Times New Roman" w:hAnsi="Times New Roman" w:cs="Times New Roman"/>
          <w:color w:val="000000" w:themeColor="text1"/>
          <w:highlight w:val="white"/>
        </w:rPr>
        <w:t xml:space="preserve"> </w:t>
      </w:r>
      <w:r w:rsidRPr="00AF30A8">
        <w:rPr>
          <w:rFonts w:ascii="Times New Roman" w:eastAsia="Times New Roman" w:hAnsi="Times New Roman" w:cs="Times New Roman"/>
          <w:color w:val="000000" w:themeColor="text1"/>
          <w:highlight w:val="white"/>
        </w:rPr>
        <w:t xml:space="preserve">2023), highlighting the Western-centric data foundation of global AI systems, and risk </w:t>
      </w:r>
      <w:r w:rsidRPr="00AF30A8">
        <w:rPr>
          <w:rFonts w:ascii="Times New Roman" w:eastAsia="Times New Roman" w:hAnsi="Times New Roman" w:cs="Times New Roman"/>
          <w:color w:val="000000" w:themeColor="text1"/>
          <w:highlight w:val="white"/>
        </w:rPr>
        <w:lastRenderedPageBreak/>
        <w:t xml:space="preserve">universalizing Western frameworks of reasoning, creativity, and morality, thereby sidelining local epistemic traditions.  </w:t>
      </w:r>
    </w:p>
    <w:p w14:paraId="37DEB6CC"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highlight w:val="white"/>
        </w:rPr>
        <w:t xml:space="preserve">To decolonize the cultural imperialism embedded in generative AI within educational contexts, it is essential to enhance generative AI’s awareness and integration of local cultural perspectives. Chinese universities could embed “cultural alignment” modules into AI training datasets and establish partnerships between domestic and global AI labs to co-develop culturally inclusive model architectures. Such initiatives would advance the localization of AI tools and foster intercultural algorithmic literacy among students, ensuring that Generative AI becomes not an instrument of homogenization but a bridge between cultural knowledge systems. </w:t>
      </w:r>
    </w:p>
    <w:p w14:paraId="76178A9F"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002DDFCA" w14:textId="77777777" w:rsidR="00932484" w:rsidRPr="00AF30A8" w:rsidRDefault="00000000">
      <w:pPr>
        <w:spacing w:before="320" w:after="80" w:line="480" w:lineRule="auto"/>
        <w:jc w:val="both"/>
        <w:rPr>
          <w:rFonts w:ascii="Times New Roman" w:eastAsia="Times New Roman" w:hAnsi="Times New Roman" w:cs="Times New Roman"/>
          <w:b/>
          <w:color w:val="000000" w:themeColor="text1"/>
          <w:sz w:val="27"/>
          <w:szCs w:val="27"/>
        </w:rPr>
      </w:pPr>
      <w:r w:rsidRPr="00AF30A8">
        <w:rPr>
          <w:rFonts w:ascii="Times New Roman" w:eastAsia="Times New Roman" w:hAnsi="Times New Roman" w:cs="Times New Roman"/>
          <w:b/>
          <w:color w:val="000000" w:themeColor="text1"/>
        </w:rPr>
        <w:t>The Need for a Future-oriented Understanding of Generative AI  </w:t>
      </w:r>
    </w:p>
    <w:p w14:paraId="7AEEFCC1"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Finally, participants’ interactions with generative AI marked by politeness (“thank you”, “please”) and emotional engagement, underscore that generative AI is not experienced merely as a tool but as a learning partner.  Is generative AI merely a tool, or does it transcend that role? Why do students, both consciously and unconsciously, say “thank you” and “please” when interacting with generative AI? This is not a simple question, and it warrants deeper exploration. The interaction between students and generative AI, as well as the broader human-machine relationship, is fluid, evolving, and constantly shifting. </w:t>
      </w:r>
    </w:p>
    <w:p w14:paraId="3D63770B"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To fully grasp the role of generative AI in higher education, universities should adopt human-centered AI governance frameworks that combine digital ethic, emotional intelligence and critical AI literacy training. Policymakers could also support AI pedagogy programs emphasizing critical reflection on algorithmic bias, empathy, and responsible use. This aligns with UNESCO’s (2023) and Holmes and Miao’s (2023) calls for education systems to balance technological </w:t>
      </w:r>
      <w:r w:rsidRPr="00AF30A8">
        <w:rPr>
          <w:rFonts w:ascii="Times New Roman" w:eastAsia="Times New Roman" w:hAnsi="Times New Roman" w:cs="Times New Roman"/>
          <w:color w:val="000000" w:themeColor="text1"/>
        </w:rPr>
        <w:lastRenderedPageBreak/>
        <w:t>innovation with humanistic values. At the same time, it is essential to remain attentive to the complex and evolving nature of generative AI’s integration into students’ learning experiences, particularly across different disciplines and gender identities.</w:t>
      </w:r>
    </w:p>
    <w:p w14:paraId="2BDABDAF" w14:textId="77777777" w:rsidR="00932484" w:rsidRPr="00AF30A8" w:rsidRDefault="00932484">
      <w:pPr>
        <w:spacing w:after="0" w:line="480" w:lineRule="auto"/>
        <w:ind w:firstLine="720"/>
        <w:jc w:val="both"/>
        <w:rPr>
          <w:rFonts w:ascii="Times New Roman" w:eastAsia="Times New Roman" w:hAnsi="Times New Roman" w:cs="Times New Roman"/>
          <w:color w:val="000000" w:themeColor="text1"/>
        </w:rPr>
      </w:pPr>
    </w:p>
    <w:p w14:paraId="01ABB081" w14:textId="77777777" w:rsidR="00932484" w:rsidRPr="00AF30A8" w:rsidRDefault="00932484">
      <w:pPr>
        <w:spacing w:after="0" w:line="240" w:lineRule="auto"/>
        <w:rPr>
          <w:rFonts w:ascii="Times New Roman" w:eastAsia="Times New Roman" w:hAnsi="Times New Roman" w:cs="Times New Roman"/>
          <w:color w:val="000000" w:themeColor="text1"/>
        </w:rPr>
      </w:pPr>
    </w:p>
    <w:p w14:paraId="329EF4BE" w14:textId="77777777" w:rsidR="00932484" w:rsidRPr="00AF30A8" w:rsidRDefault="00000000">
      <w:pPr>
        <w:spacing w:after="0" w:line="480" w:lineRule="auto"/>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b/>
          <w:color w:val="000000" w:themeColor="text1"/>
        </w:rPr>
        <w:t>Conclusion </w:t>
      </w:r>
    </w:p>
    <w:p w14:paraId="171FF97D" w14:textId="77777777" w:rsidR="00932484" w:rsidRPr="00AF30A8" w:rsidRDefault="00000000">
      <w:pPr>
        <w:spacing w:before="240" w:after="24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Guided by the UTAUT2 framework, this study employed qualitative semi-structured interviews to explore how Chinese undergraduates navigate global and domestic generative AI in their learning. Four key factors emerged: access limitations, language proficiency, disciplinary background, and cultural familiarity. Students’ choices reflected differences in </w:t>
      </w:r>
      <w:r w:rsidRPr="00AF30A8">
        <w:rPr>
          <w:rFonts w:ascii="Times New Roman" w:eastAsia="Times New Roman" w:hAnsi="Times New Roman" w:cs="Times New Roman"/>
          <w:i/>
          <w:color w:val="000000" w:themeColor="text1"/>
        </w:rPr>
        <w:t>Performance Expectancy</w:t>
      </w:r>
      <w:r w:rsidRPr="00AF30A8">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i/>
          <w:color w:val="000000" w:themeColor="text1"/>
        </w:rPr>
        <w:t>Effort Expectancy</w:t>
      </w:r>
      <w:r w:rsidRPr="00AF30A8">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i/>
          <w:color w:val="000000" w:themeColor="text1"/>
        </w:rPr>
        <w:t>Social Influence</w:t>
      </w:r>
      <w:r w:rsidRPr="00AF30A8">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i/>
          <w:color w:val="000000" w:themeColor="text1"/>
        </w:rPr>
        <w:t>Facilitating Conditions</w:t>
      </w:r>
      <w:r w:rsidRPr="00AF30A8">
        <w:rPr>
          <w:rFonts w:ascii="Times New Roman" w:eastAsia="Times New Roman" w:hAnsi="Times New Roman" w:cs="Times New Roman"/>
          <w:color w:val="000000" w:themeColor="text1"/>
        </w:rPr>
        <w:t xml:space="preserve">, </w:t>
      </w:r>
      <w:r w:rsidRPr="00AF30A8">
        <w:rPr>
          <w:rFonts w:ascii="Times New Roman" w:eastAsia="Times New Roman" w:hAnsi="Times New Roman" w:cs="Times New Roman"/>
          <w:i/>
          <w:color w:val="000000" w:themeColor="text1"/>
        </w:rPr>
        <w:t>Price Value</w:t>
      </w:r>
      <w:r w:rsidRPr="00AF30A8">
        <w:rPr>
          <w:rFonts w:ascii="Times New Roman" w:eastAsia="Times New Roman" w:hAnsi="Times New Roman" w:cs="Times New Roman"/>
          <w:color w:val="000000" w:themeColor="text1"/>
        </w:rPr>
        <w:t xml:space="preserve">, and </w:t>
      </w:r>
      <w:r w:rsidRPr="00AF30A8">
        <w:rPr>
          <w:rFonts w:ascii="Times New Roman" w:eastAsia="Times New Roman" w:hAnsi="Times New Roman" w:cs="Times New Roman"/>
          <w:i/>
          <w:color w:val="000000" w:themeColor="text1"/>
        </w:rPr>
        <w:t>Hedonic Motivation</w:t>
      </w:r>
      <w:r w:rsidRPr="00AF30A8">
        <w:rPr>
          <w:rFonts w:ascii="Times New Roman" w:eastAsia="Times New Roman" w:hAnsi="Times New Roman" w:cs="Times New Roman"/>
          <w:color w:val="000000" w:themeColor="text1"/>
        </w:rPr>
        <w:t xml:space="preserve">, moderated by </w:t>
      </w:r>
      <w:r w:rsidRPr="00AF30A8">
        <w:rPr>
          <w:rFonts w:ascii="Times New Roman" w:eastAsia="Times New Roman" w:hAnsi="Times New Roman" w:cs="Times New Roman"/>
          <w:i/>
          <w:color w:val="000000" w:themeColor="text1"/>
        </w:rPr>
        <w:t>Gender</w:t>
      </w:r>
      <w:r w:rsidRPr="00AF30A8">
        <w:rPr>
          <w:rFonts w:ascii="Times New Roman" w:eastAsia="Times New Roman" w:hAnsi="Times New Roman" w:cs="Times New Roman"/>
          <w:color w:val="000000" w:themeColor="text1"/>
        </w:rPr>
        <w:t xml:space="preserve"> and </w:t>
      </w:r>
      <w:r w:rsidRPr="00AF30A8">
        <w:rPr>
          <w:rFonts w:ascii="Times New Roman" w:eastAsia="Times New Roman" w:hAnsi="Times New Roman" w:cs="Times New Roman"/>
          <w:i/>
          <w:color w:val="000000" w:themeColor="text1"/>
        </w:rPr>
        <w:t>Experience</w:t>
      </w:r>
      <w:r w:rsidRPr="00AF30A8">
        <w:rPr>
          <w:rFonts w:ascii="Times New Roman" w:eastAsia="Times New Roman" w:hAnsi="Times New Roman" w:cs="Times New Roman"/>
          <w:color w:val="000000" w:themeColor="text1"/>
        </w:rPr>
        <w:t xml:space="preserve"> (age was excluded, as all participants were in their early 20s). Accessibility and cost strongly influenced adoption, with limited access to global generative AI tools and higher subscription fees prompting reliance on domestic alternatives, though some students used VPNs or shared accounts to access perceived higher-value tools. Language and discipline also shaped engagement—STEM and English-medium students favored global generative AI for technical and English-based tasks, while humanities students preferred domestic generative AI for Chinese-language assignments. Culturally, domestic generative AI was viewed as more aligned with local norms and political contexts, whereas global generative AI often lacked cultural nuance.</w:t>
      </w:r>
    </w:p>
    <w:p w14:paraId="40B3006F"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These findings advance three critical discussions: (1) the political-linguistic dimensions of AI adoption in education, (2) digital equity in non-Western contexts, and (3) cultural diversity in technology design. The experiences of Chinese students reveal that access barriers ranging from </w:t>
      </w:r>
      <w:r w:rsidRPr="00AF30A8">
        <w:rPr>
          <w:rFonts w:ascii="Times New Roman" w:eastAsia="Times New Roman" w:hAnsi="Times New Roman" w:cs="Times New Roman"/>
          <w:color w:val="000000" w:themeColor="text1"/>
        </w:rPr>
        <w:lastRenderedPageBreak/>
        <w:t xml:space="preserve">censorship and payment restrictions to linguistic inequities, shape not only who can use generative AI, but also how it is used and understood. These challenges are particularly acute for students outside elite urban universities, underscoring the need for inclusive policies that bridge institutional and regional divides. To move toward equitable access, universities and policymakers should implement public subsidies initiatives that strengthen multilingual model development and culturally adaptive datasets. Such efforts would ensure that AI systems reflect local contexts and epistemologies rather than reproducing existing hierarchies of privilege and language. </w:t>
      </w:r>
    </w:p>
    <w:p w14:paraId="2E247BDD" w14:textId="77777777" w:rsidR="00932484" w:rsidRPr="00AF30A8" w:rsidRDefault="00000000">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Achieving a just and human-centered AI future in higher education requires a holistic approach, one that prioritizes digital equity, intercultural dialogue, and ethical governance. By grounding AI policy and planning in </w:t>
      </w:r>
      <w:proofErr w:type="gramStart"/>
      <w:r w:rsidRPr="00AF30A8">
        <w:rPr>
          <w:rFonts w:ascii="Times New Roman" w:eastAsia="Times New Roman" w:hAnsi="Times New Roman" w:cs="Times New Roman"/>
          <w:color w:val="000000" w:themeColor="text1"/>
        </w:rPr>
        <w:t>students’</w:t>
      </w:r>
      <w:proofErr w:type="gramEnd"/>
      <w:r w:rsidRPr="00AF30A8">
        <w:rPr>
          <w:rFonts w:ascii="Times New Roman" w:eastAsia="Times New Roman" w:hAnsi="Times New Roman" w:cs="Times New Roman"/>
          <w:color w:val="000000" w:themeColor="text1"/>
        </w:rPr>
        <w:t xml:space="preserve"> lived experiences, universities can transform generative AI from a site of inequality into a catalyst for inclusive innovation and global educational collaboration.    </w:t>
      </w:r>
    </w:p>
    <w:p w14:paraId="79F70B35" w14:textId="4EF63363" w:rsidR="00EB0C22" w:rsidRDefault="00000000" w:rsidP="000859D2">
      <w:pPr>
        <w:spacing w:after="0" w:line="480" w:lineRule="auto"/>
        <w:ind w:firstLine="720"/>
        <w:jc w:val="both"/>
        <w:rPr>
          <w:rFonts w:ascii="Times New Roman" w:eastAsia="Times New Roman" w:hAnsi="Times New Roman" w:cs="Times New Roman"/>
          <w:color w:val="000000" w:themeColor="text1"/>
        </w:rPr>
      </w:pPr>
      <w:r w:rsidRPr="00AF30A8">
        <w:rPr>
          <w:rFonts w:ascii="Times New Roman" w:eastAsia="Times New Roman" w:hAnsi="Times New Roman" w:cs="Times New Roman"/>
          <w:color w:val="000000" w:themeColor="text1"/>
        </w:rPr>
        <w:t xml:space="preserve">While this single-site study with a small sample size offers rich qualitative insights into Chinese undergraduates’ learning experiences with generative AI, its scope necessarily limits the generalizability of findings. Future research should employ comparative mixed methods across multiple institutions, regions, </w:t>
      </w:r>
      <w:r w:rsidR="00A7338A" w:rsidRPr="00AF30A8">
        <w:rPr>
          <w:rFonts w:ascii="Times New Roman" w:eastAsia="Times New Roman" w:hAnsi="Times New Roman" w:cs="Times New Roman" w:hint="eastAsia"/>
          <w:color w:val="000000" w:themeColor="text1"/>
        </w:rPr>
        <w:t xml:space="preserve">and </w:t>
      </w:r>
      <w:r w:rsidRPr="00AF30A8">
        <w:rPr>
          <w:rFonts w:ascii="Times New Roman" w:eastAsia="Times New Roman" w:hAnsi="Times New Roman" w:cs="Times New Roman"/>
          <w:color w:val="000000" w:themeColor="text1"/>
        </w:rPr>
        <w:t>even nations to capture broader patterns of variation and deepen analytical validity. As generative AI continues to reshape global education, such work will be vital to ensure equitable learning environments that respect linguistic, cultural, and epistemological diversity.</w:t>
      </w:r>
    </w:p>
    <w:p w14:paraId="5E46643C" w14:textId="77777777" w:rsidR="000859D2" w:rsidRPr="000859D2" w:rsidRDefault="000859D2" w:rsidP="000859D2">
      <w:pPr>
        <w:spacing w:after="0" w:line="480" w:lineRule="auto"/>
        <w:ind w:firstLine="720"/>
        <w:jc w:val="both"/>
        <w:rPr>
          <w:rFonts w:ascii="Times New Roman" w:eastAsia="Times New Roman" w:hAnsi="Times New Roman" w:cs="Times New Roman"/>
          <w:color w:val="000000" w:themeColor="text1"/>
        </w:rPr>
      </w:pPr>
    </w:p>
    <w:p w14:paraId="7CB5A869" w14:textId="77777777" w:rsidR="000859D2" w:rsidRDefault="009864BC" w:rsidP="00B64D0F">
      <w:pPr>
        <w:spacing w:after="0" w:line="480" w:lineRule="auto"/>
        <w:jc w:val="both"/>
        <w:rPr>
          <w:rFonts w:ascii="Times New Roman" w:eastAsia="Times New Roman" w:hAnsi="Times New Roman" w:cs="Times New Roman"/>
          <w:b/>
          <w:bCs/>
          <w:color w:val="000000" w:themeColor="text1"/>
          <w:lang w:val="en-US"/>
        </w:rPr>
      </w:pPr>
      <w:r w:rsidRPr="00B64D0F">
        <w:rPr>
          <w:rFonts w:ascii="Times New Roman" w:eastAsia="Times New Roman" w:hAnsi="Times New Roman" w:cs="Times New Roman"/>
          <w:b/>
          <w:bCs/>
          <w:color w:val="000000" w:themeColor="text1"/>
          <w:lang w:val="en-US"/>
        </w:rPr>
        <w:t>Acknowledgement</w:t>
      </w:r>
    </w:p>
    <w:p w14:paraId="1D3553E5" w14:textId="2A0A15AF" w:rsidR="000859D2" w:rsidRPr="000859D2" w:rsidRDefault="009864BC" w:rsidP="00B64D0F">
      <w:pPr>
        <w:spacing w:after="0" w:line="480" w:lineRule="auto"/>
        <w:jc w:val="both"/>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We</w:t>
      </w:r>
      <w:r w:rsidRPr="009864BC">
        <w:rPr>
          <w:rFonts w:ascii="Times New Roman" w:eastAsia="Times New Roman" w:hAnsi="Times New Roman" w:cs="Times New Roman"/>
          <w:color w:val="000000" w:themeColor="text1"/>
          <w:lang w:val="en-US"/>
        </w:rPr>
        <w:t xml:space="preserve"> would like to express </w:t>
      </w:r>
      <w:r>
        <w:rPr>
          <w:rFonts w:ascii="Times New Roman" w:eastAsia="Times New Roman" w:hAnsi="Times New Roman" w:cs="Times New Roman"/>
          <w:color w:val="000000" w:themeColor="text1"/>
          <w:lang w:val="en-US"/>
        </w:rPr>
        <w:t>our</w:t>
      </w:r>
      <w:r w:rsidRPr="009864BC">
        <w:rPr>
          <w:rFonts w:ascii="Times New Roman" w:eastAsia="Times New Roman" w:hAnsi="Times New Roman" w:cs="Times New Roman"/>
          <w:color w:val="000000" w:themeColor="text1"/>
          <w:lang w:val="en-US"/>
        </w:rPr>
        <w:t xml:space="preserve"> sincere gratitude to Dr. </w:t>
      </w:r>
      <w:r>
        <w:rPr>
          <w:rFonts w:ascii="Times New Roman" w:eastAsia="Times New Roman" w:hAnsi="Times New Roman" w:cs="Times New Roman"/>
          <w:color w:val="000000" w:themeColor="text1"/>
          <w:lang w:val="en-US"/>
        </w:rPr>
        <w:t xml:space="preserve">Ran </w:t>
      </w:r>
      <w:r w:rsidRPr="009864BC">
        <w:rPr>
          <w:rFonts w:ascii="Times New Roman" w:eastAsia="Times New Roman" w:hAnsi="Times New Roman" w:cs="Times New Roman"/>
          <w:color w:val="000000" w:themeColor="text1"/>
          <w:lang w:val="en-US"/>
        </w:rPr>
        <w:t>Liu for her thoughtful advice and guidance on the design of interview questions.</w:t>
      </w:r>
      <w:r w:rsidR="000859D2">
        <w:rPr>
          <w:rFonts w:ascii="Times New Roman" w:eastAsia="Times New Roman" w:hAnsi="Times New Roman" w:cs="Times New Roman" w:hint="eastAsia"/>
          <w:color w:val="000000" w:themeColor="text1"/>
          <w:lang w:val="en-US"/>
        </w:rPr>
        <w:t xml:space="preserve"> </w:t>
      </w:r>
      <w:r w:rsidR="000859D2" w:rsidRPr="000859D2">
        <w:rPr>
          <w:rFonts w:ascii="Times New Roman" w:eastAsia="Times New Roman" w:hAnsi="Times New Roman" w:cs="Times New Roman"/>
          <w:color w:val="000000" w:themeColor="text1"/>
          <w:lang w:val="en-US"/>
        </w:rPr>
        <w:t xml:space="preserve">We are also deeply grateful to the Chinese students </w:t>
      </w:r>
      <w:r w:rsidR="000859D2" w:rsidRPr="000859D2">
        <w:rPr>
          <w:rFonts w:ascii="Times New Roman" w:eastAsia="Times New Roman" w:hAnsi="Times New Roman" w:cs="Times New Roman"/>
          <w:color w:val="000000" w:themeColor="text1"/>
          <w:lang w:val="en-US"/>
        </w:rPr>
        <w:lastRenderedPageBreak/>
        <w:t>who participated in this study and generously shared their experiences, perspectives, and trust. Their contributions made this collaborative learning journey possible.</w:t>
      </w:r>
    </w:p>
    <w:p w14:paraId="494A9B8F" w14:textId="77777777" w:rsidR="000859D2" w:rsidRPr="00B64D0F" w:rsidRDefault="000859D2" w:rsidP="00B64D0F">
      <w:pPr>
        <w:spacing w:after="0" w:line="480" w:lineRule="auto"/>
        <w:jc w:val="both"/>
        <w:rPr>
          <w:rFonts w:ascii="Times New Roman" w:eastAsia="Times New Roman" w:hAnsi="Times New Roman" w:cs="Times New Roman"/>
          <w:color w:val="000000" w:themeColor="text1"/>
          <w:lang w:val="en-US"/>
        </w:rPr>
      </w:pPr>
    </w:p>
    <w:p w14:paraId="448DB8C3" w14:textId="0F3AE020" w:rsidR="00EB0C22" w:rsidRPr="00B64D0F" w:rsidRDefault="00EB0C22" w:rsidP="00B64D0F">
      <w:pPr>
        <w:spacing w:after="0" w:line="480" w:lineRule="auto"/>
        <w:jc w:val="both"/>
        <w:rPr>
          <w:rFonts w:ascii="Times New Roman" w:eastAsia="Times New Roman" w:hAnsi="Times New Roman" w:cs="Times New Roman"/>
          <w:b/>
          <w:bCs/>
          <w:color w:val="000000" w:themeColor="text1"/>
          <w:lang w:val="en-US"/>
        </w:rPr>
      </w:pPr>
      <w:r w:rsidRPr="00B64D0F">
        <w:rPr>
          <w:rFonts w:ascii="Times New Roman" w:eastAsia="Times New Roman" w:hAnsi="Times New Roman" w:cs="Times New Roman"/>
          <w:b/>
          <w:bCs/>
          <w:color w:val="000000" w:themeColor="text1"/>
          <w:lang w:val="en-US"/>
        </w:rPr>
        <w:t>Funding</w:t>
      </w:r>
    </w:p>
    <w:p w14:paraId="17950FA8" w14:textId="49906C0B" w:rsidR="00EB0C22" w:rsidRDefault="00EB0C22" w:rsidP="00EB0C22">
      <w:pPr>
        <w:spacing w:after="0" w:line="480" w:lineRule="auto"/>
        <w:jc w:val="both"/>
        <w:rPr>
          <w:rFonts w:ascii="Times New Roman" w:eastAsia="Times New Roman" w:hAnsi="Times New Roman" w:cs="Times New Roman"/>
          <w:color w:val="000000" w:themeColor="text1"/>
        </w:rPr>
      </w:pPr>
      <w:r w:rsidRPr="00B64D0F">
        <w:rPr>
          <w:rFonts w:ascii="Times New Roman" w:eastAsia="Times New Roman" w:hAnsi="Times New Roman" w:cs="Times New Roman"/>
          <w:color w:val="000000" w:themeColor="text1"/>
        </w:rPr>
        <w:t>This work was supported by JSPS KAKENHI Grant Number 24K06100.</w:t>
      </w:r>
    </w:p>
    <w:p w14:paraId="6F007EDB" w14:textId="77777777" w:rsidR="00EB0C22" w:rsidRDefault="00EB0C22" w:rsidP="00EB0C22">
      <w:pPr>
        <w:spacing w:after="0" w:line="480" w:lineRule="auto"/>
        <w:jc w:val="both"/>
        <w:rPr>
          <w:rFonts w:ascii="Times New Roman" w:eastAsia="Times New Roman" w:hAnsi="Times New Roman" w:cs="Times New Roman"/>
          <w:color w:val="000000" w:themeColor="text1"/>
          <w:lang w:val="en-US"/>
        </w:rPr>
      </w:pPr>
    </w:p>
    <w:p w14:paraId="74E9ECD6" w14:textId="371C18A7" w:rsidR="00EB0C22" w:rsidRPr="00B64D0F" w:rsidRDefault="00EB0C22" w:rsidP="00EB0C22">
      <w:pPr>
        <w:spacing w:after="0" w:line="480" w:lineRule="auto"/>
        <w:jc w:val="both"/>
        <w:rPr>
          <w:rFonts w:ascii="Times New Roman" w:eastAsia="Times New Roman" w:hAnsi="Times New Roman" w:cs="Times New Roman"/>
          <w:b/>
          <w:bCs/>
          <w:color w:val="000000" w:themeColor="text1"/>
          <w:lang w:val="en-US"/>
        </w:rPr>
      </w:pPr>
      <w:r w:rsidRPr="00B64D0F">
        <w:rPr>
          <w:rFonts w:ascii="Times New Roman" w:eastAsia="Times New Roman" w:hAnsi="Times New Roman" w:cs="Times New Roman"/>
          <w:b/>
          <w:bCs/>
          <w:color w:val="000000" w:themeColor="text1"/>
          <w:lang w:val="en-US"/>
        </w:rPr>
        <w:t>Disclosure statement</w:t>
      </w:r>
    </w:p>
    <w:p w14:paraId="62648C82" w14:textId="4E741D79" w:rsidR="00EB0C22" w:rsidRPr="00B64D0F" w:rsidRDefault="00EB0C22" w:rsidP="00B64D0F">
      <w:pPr>
        <w:spacing w:after="0" w:line="480" w:lineRule="auto"/>
        <w:jc w:val="both"/>
        <w:rPr>
          <w:rFonts w:ascii="Times New Roman" w:eastAsia="Times New Roman" w:hAnsi="Times New Roman" w:cs="Times New Roman"/>
          <w:color w:val="000000" w:themeColor="text1"/>
          <w:lang w:val="en-US"/>
        </w:rPr>
      </w:pPr>
      <w:r w:rsidRPr="00EB0C22">
        <w:rPr>
          <w:rFonts w:ascii="Times New Roman" w:eastAsia="Times New Roman" w:hAnsi="Times New Roman" w:cs="Times New Roman"/>
          <w:color w:val="000000" w:themeColor="text1"/>
        </w:rPr>
        <w:t>No potential conflict of interest was reported by the authors.</w:t>
      </w:r>
    </w:p>
    <w:p w14:paraId="3C61644A" w14:textId="77777777" w:rsidR="00932484" w:rsidRPr="00AF30A8" w:rsidRDefault="00932484">
      <w:pPr>
        <w:spacing w:after="0" w:line="480" w:lineRule="auto"/>
        <w:jc w:val="both"/>
        <w:rPr>
          <w:rFonts w:ascii="Times New Roman" w:eastAsia="Times New Roman" w:hAnsi="Times New Roman" w:cs="Times New Roman"/>
          <w:color w:val="000000" w:themeColor="text1"/>
        </w:rPr>
      </w:pPr>
    </w:p>
    <w:p w14:paraId="7F51379B" w14:textId="77777777" w:rsidR="00932484" w:rsidRPr="00AF30A8" w:rsidRDefault="00932484">
      <w:pPr>
        <w:spacing w:after="0" w:line="480" w:lineRule="auto"/>
        <w:jc w:val="both"/>
        <w:rPr>
          <w:rFonts w:ascii="Times New Roman" w:eastAsia="Times New Roman" w:hAnsi="Times New Roman" w:cs="Times New Roman"/>
          <w:color w:val="000000" w:themeColor="text1"/>
        </w:rPr>
      </w:pPr>
    </w:p>
    <w:p w14:paraId="69CF3582" w14:textId="77777777" w:rsidR="00932484" w:rsidRDefault="00932484">
      <w:pPr>
        <w:spacing w:after="0" w:line="480" w:lineRule="auto"/>
        <w:jc w:val="both"/>
        <w:rPr>
          <w:rFonts w:ascii="Times New Roman" w:eastAsia="Times New Roman" w:hAnsi="Times New Roman" w:cs="Times New Roman"/>
          <w:color w:val="000000" w:themeColor="text1"/>
        </w:rPr>
      </w:pPr>
    </w:p>
    <w:p w14:paraId="7A5404FB" w14:textId="77777777" w:rsidR="008653FA" w:rsidRDefault="008653FA">
      <w:pPr>
        <w:spacing w:after="0" w:line="480" w:lineRule="auto"/>
        <w:jc w:val="both"/>
        <w:rPr>
          <w:rFonts w:ascii="Times New Roman" w:eastAsia="Times New Roman" w:hAnsi="Times New Roman" w:cs="Times New Roman"/>
          <w:color w:val="000000" w:themeColor="text1"/>
        </w:rPr>
      </w:pPr>
    </w:p>
    <w:p w14:paraId="107280CC" w14:textId="77777777" w:rsidR="008653FA" w:rsidRDefault="008653FA">
      <w:pPr>
        <w:spacing w:after="0" w:line="480" w:lineRule="auto"/>
        <w:jc w:val="both"/>
        <w:rPr>
          <w:rFonts w:ascii="Times New Roman" w:eastAsia="Times New Roman" w:hAnsi="Times New Roman" w:cs="Times New Roman"/>
          <w:color w:val="000000" w:themeColor="text1"/>
        </w:rPr>
      </w:pPr>
    </w:p>
    <w:p w14:paraId="5C1A93A6" w14:textId="77777777" w:rsidR="008653FA" w:rsidRDefault="008653FA">
      <w:pPr>
        <w:spacing w:after="0" w:line="480" w:lineRule="auto"/>
        <w:jc w:val="both"/>
        <w:rPr>
          <w:rFonts w:ascii="Times New Roman" w:eastAsia="Times New Roman" w:hAnsi="Times New Roman" w:cs="Times New Roman"/>
          <w:color w:val="000000" w:themeColor="text1"/>
        </w:rPr>
      </w:pPr>
    </w:p>
    <w:p w14:paraId="30AFD89E" w14:textId="77777777" w:rsidR="008653FA" w:rsidRDefault="008653FA">
      <w:pPr>
        <w:spacing w:after="0" w:line="480" w:lineRule="auto"/>
        <w:jc w:val="both"/>
        <w:rPr>
          <w:rFonts w:ascii="Times New Roman" w:eastAsia="Times New Roman" w:hAnsi="Times New Roman" w:cs="Times New Roman"/>
          <w:color w:val="000000" w:themeColor="text1"/>
        </w:rPr>
      </w:pPr>
    </w:p>
    <w:p w14:paraId="18E204D8" w14:textId="77777777" w:rsidR="008653FA" w:rsidRDefault="008653FA">
      <w:pPr>
        <w:spacing w:after="0" w:line="480" w:lineRule="auto"/>
        <w:jc w:val="both"/>
        <w:rPr>
          <w:rFonts w:ascii="Times New Roman" w:eastAsia="Times New Roman" w:hAnsi="Times New Roman" w:cs="Times New Roman"/>
          <w:color w:val="000000" w:themeColor="text1"/>
        </w:rPr>
      </w:pPr>
    </w:p>
    <w:p w14:paraId="11117D77" w14:textId="77777777" w:rsidR="008653FA" w:rsidRDefault="008653FA">
      <w:pPr>
        <w:spacing w:after="0" w:line="480" w:lineRule="auto"/>
        <w:jc w:val="both"/>
        <w:rPr>
          <w:rFonts w:ascii="Times New Roman" w:eastAsia="Times New Roman" w:hAnsi="Times New Roman" w:cs="Times New Roman"/>
          <w:color w:val="000000" w:themeColor="text1"/>
        </w:rPr>
      </w:pPr>
    </w:p>
    <w:p w14:paraId="0F7689CF" w14:textId="77777777" w:rsidR="008653FA" w:rsidRDefault="008653FA">
      <w:pPr>
        <w:spacing w:after="0" w:line="480" w:lineRule="auto"/>
        <w:jc w:val="both"/>
        <w:rPr>
          <w:rFonts w:ascii="Times New Roman" w:eastAsia="Times New Roman" w:hAnsi="Times New Roman" w:cs="Times New Roman"/>
          <w:color w:val="000000" w:themeColor="text1"/>
        </w:rPr>
      </w:pPr>
    </w:p>
    <w:p w14:paraId="5818CA4A" w14:textId="77777777" w:rsidR="008653FA" w:rsidRDefault="008653FA">
      <w:pPr>
        <w:spacing w:after="0" w:line="480" w:lineRule="auto"/>
        <w:jc w:val="both"/>
        <w:rPr>
          <w:rFonts w:ascii="Times New Roman" w:eastAsia="Times New Roman" w:hAnsi="Times New Roman" w:cs="Times New Roman"/>
          <w:color w:val="000000" w:themeColor="text1"/>
        </w:rPr>
      </w:pPr>
    </w:p>
    <w:p w14:paraId="3329A5CE" w14:textId="77777777" w:rsidR="008653FA" w:rsidRDefault="008653FA">
      <w:pPr>
        <w:spacing w:after="0" w:line="480" w:lineRule="auto"/>
        <w:jc w:val="both"/>
        <w:rPr>
          <w:rFonts w:ascii="Times New Roman" w:eastAsia="Times New Roman" w:hAnsi="Times New Roman" w:cs="Times New Roman"/>
          <w:color w:val="000000" w:themeColor="text1"/>
        </w:rPr>
      </w:pPr>
    </w:p>
    <w:p w14:paraId="7C356B04" w14:textId="77777777" w:rsidR="008653FA" w:rsidRDefault="008653FA">
      <w:pPr>
        <w:spacing w:after="0" w:line="480" w:lineRule="auto"/>
        <w:jc w:val="both"/>
        <w:rPr>
          <w:rFonts w:ascii="Times New Roman" w:eastAsia="Times New Roman" w:hAnsi="Times New Roman" w:cs="Times New Roman"/>
          <w:color w:val="000000" w:themeColor="text1"/>
        </w:rPr>
      </w:pPr>
    </w:p>
    <w:p w14:paraId="3FFE884B" w14:textId="2847577C" w:rsidR="008653FA" w:rsidRPr="00AF30A8" w:rsidRDefault="008653FA">
      <w:pPr>
        <w:spacing w:after="0" w:line="480" w:lineRule="auto"/>
        <w:jc w:val="both"/>
        <w:rPr>
          <w:rFonts w:ascii="Times New Roman" w:eastAsia="Times New Roman" w:hAnsi="Times New Roman" w:cs="Times New Roman"/>
          <w:color w:val="000000" w:themeColor="text1"/>
        </w:rPr>
      </w:pPr>
    </w:p>
    <w:p w14:paraId="4D44B456" w14:textId="77777777" w:rsidR="00932484" w:rsidRPr="00AF30A8" w:rsidRDefault="00932484">
      <w:pPr>
        <w:spacing w:after="0" w:line="480" w:lineRule="auto"/>
        <w:jc w:val="both"/>
        <w:rPr>
          <w:rFonts w:ascii="Times New Roman" w:eastAsia="Times New Roman" w:hAnsi="Times New Roman" w:cs="Times New Roman"/>
          <w:color w:val="000000" w:themeColor="text1"/>
        </w:rPr>
      </w:pPr>
    </w:p>
    <w:p w14:paraId="5FC72799" w14:textId="77777777" w:rsidR="00DB7D67" w:rsidRPr="00DB7D67" w:rsidRDefault="00000000" w:rsidP="00DB7D67">
      <w:pPr>
        <w:spacing w:before="360" w:after="120" w:line="480" w:lineRule="auto"/>
        <w:jc w:val="center"/>
        <w:rPr>
          <w:rFonts w:ascii="Times New Roman" w:eastAsia="Times New Roman" w:hAnsi="Times New Roman" w:cs="Times New Roman"/>
          <w:b/>
          <w:color w:val="000000" w:themeColor="text1"/>
          <w:sz w:val="36"/>
          <w:szCs w:val="36"/>
        </w:rPr>
      </w:pPr>
      <w:r w:rsidRPr="00AF30A8">
        <w:rPr>
          <w:rFonts w:ascii="Times New Roman" w:eastAsia="Times New Roman" w:hAnsi="Times New Roman" w:cs="Times New Roman"/>
          <w:b/>
          <w:color w:val="000000" w:themeColor="text1"/>
        </w:rPr>
        <w:lastRenderedPageBreak/>
        <w:t>References </w:t>
      </w:r>
    </w:p>
    <w:p w14:paraId="7647090C" w14:textId="77777777" w:rsidR="00DB7D67" w:rsidRDefault="00DB7D67" w:rsidP="00DB7D67">
      <w:pPr>
        <w:pStyle w:val="p1"/>
        <w:numPr>
          <w:ilvl w:val="0"/>
          <w:numId w:val="1"/>
        </w:numPr>
        <w:spacing w:line="480" w:lineRule="auto"/>
      </w:pPr>
      <w:r>
        <w:t xml:space="preserve">Abdalla, S. Z. S. 2025. “Understanding ChatGPT Adoption for Data Analytics Learning: A UTAUT Perspective among Social Science Students in Oman.” </w:t>
      </w:r>
      <w:r>
        <w:rPr>
          <w:i/>
          <w:iCs/>
        </w:rPr>
        <w:t>Social Sciences &amp; Humanities Open</w:t>
      </w:r>
      <w:r>
        <w:t xml:space="preserve"> 11: 101310.</w:t>
      </w:r>
    </w:p>
    <w:p w14:paraId="1E3303DA" w14:textId="77777777" w:rsidR="00DB7D67" w:rsidRDefault="00DB7D67" w:rsidP="00DB7D67">
      <w:pPr>
        <w:pStyle w:val="p1"/>
        <w:numPr>
          <w:ilvl w:val="0"/>
          <w:numId w:val="1"/>
        </w:numPr>
        <w:spacing w:line="480" w:lineRule="auto"/>
      </w:pPr>
      <w:r>
        <w:t xml:space="preserve">Abbas, M., F. A. Jam, and T. I. Khan. 2024. “Is It Harmful or Helpful? Examining the Causes and Consequences of Generative AI Usage among University Students.” </w:t>
      </w:r>
      <w:r>
        <w:rPr>
          <w:i/>
          <w:iCs/>
        </w:rPr>
        <w:t>International Journal of Educational Technology in Higher Education</w:t>
      </w:r>
      <w:r>
        <w:t xml:space="preserve"> 21 (1): 10.</w:t>
      </w:r>
    </w:p>
    <w:p w14:paraId="26278AA7" w14:textId="77777777" w:rsidR="00DB7D67" w:rsidRDefault="00DB7D67" w:rsidP="00DB7D67">
      <w:pPr>
        <w:pStyle w:val="p1"/>
        <w:numPr>
          <w:ilvl w:val="0"/>
          <w:numId w:val="1"/>
        </w:numPr>
        <w:spacing w:line="480" w:lineRule="auto"/>
      </w:pPr>
      <w:r>
        <w:t>ACL Rolling Review Statistics. 2025. “First Authors’ Country of Affiliation.” https://stats.aclrollingreview.org/submissions/geo-diversity/.</w:t>
      </w:r>
    </w:p>
    <w:p w14:paraId="55FEF4F2" w14:textId="77777777" w:rsidR="00DB7D67" w:rsidRDefault="00DB7D67" w:rsidP="00DB7D67">
      <w:pPr>
        <w:pStyle w:val="p1"/>
        <w:numPr>
          <w:ilvl w:val="0"/>
          <w:numId w:val="1"/>
        </w:numPr>
        <w:spacing w:line="480" w:lineRule="auto"/>
      </w:pPr>
      <w:r>
        <w:t xml:space="preserve">Aji, A. F., J. Z. Forde, A. M. Loo, L. </w:t>
      </w:r>
      <w:proofErr w:type="spellStart"/>
      <w:r>
        <w:t>Sutawika</w:t>
      </w:r>
      <w:proofErr w:type="spellEnd"/>
      <w:r>
        <w:t xml:space="preserve">, S. Wang, G. I. Winata, Z.-X. Yong, R. Zhang, A. S. </w:t>
      </w:r>
      <w:proofErr w:type="spellStart"/>
      <w:r>
        <w:t>Doğruöz</w:t>
      </w:r>
      <w:proofErr w:type="spellEnd"/>
      <w:r>
        <w:t xml:space="preserve">, Y. L. Tan, and J. C. B. Cruz. 2023. “Current Status of NLP in Southeast Asia with Insights from Multilingualism and Language Diversity.” In </w:t>
      </w:r>
      <w:r>
        <w:rPr>
          <w:i/>
          <w:iCs/>
        </w:rPr>
        <w:t>Proceedings of the 13th International Joint Conference on Natural Language Processing and the 3rd Conference of the Asia-Pacific Chapter of the Association for Computational Linguistics: Tutorial Abstract</w:t>
      </w:r>
      <w:r>
        <w:t>, 8–13. Association for Computational Linguistics.</w:t>
      </w:r>
    </w:p>
    <w:p w14:paraId="3107BE4F" w14:textId="77777777" w:rsidR="00DB7D67" w:rsidRDefault="00DB7D67" w:rsidP="00DB7D67">
      <w:pPr>
        <w:pStyle w:val="p1"/>
        <w:numPr>
          <w:ilvl w:val="0"/>
          <w:numId w:val="1"/>
        </w:numPr>
        <w:spacing w:line="480" w:lineRule="auto"/>
      </w:pPr>
      <w:r>
        <w:t xml:space="preserve">Ajzen, I. 1991. “The Theory of Planned Behavior.” </w:t>
      </w:r>
      <w:r>
        <w:rPr>
          <w:i/>
          <w:iCs/>
        </w:rPr>
        <w:t>Organizational Behavior and Human Decision Processes</w:t>
      </w:r>
      <w:r>
        <w:t>.</w:t>
      </w:r>
    </w:p>
    <w:p w14:paraId="111CA0BD" w14:textId="77777777" w:rsidR="00DB7D67" w:rsidRDefault="00DB7D67" w:rsidP="00DB7D67">
      <w:pPr>
        <w:pStyle w:val="p1"/>
        <w:numPr>
          <w:ilvl w:val="0"/>
          <w:numId w:val="1"/>
        </w:numPr>
        <w:spacing w:line="480" w:lineRule="auto"/>
      </w:pPr>
      <w:r>
        <w:t xml:space="preserve">Albayati, H. 2024. “Investigating Undergraduate Students’ Perceptions and Awareness of Using ChatGPT as a Regular Assistance Tool: A User Acceptance Perspective Study.” </w:t>
      </w:r>
      <w:r>
        <w:rPr>
          <w:i/>
          <w:iCs/>
        </w:rPr>
        <w:t>Computers and Education: Artificial Intelligence</w:t>
      </w:r>
      <w:r>
        <w:t xml:space="preserve"> 6: 100203.</w:t>
      </w:r>
    </w:p>
    <w:p w14:paraId="124F2371" w14:textId="77777777" w:rsidR="00DB7D67" w:rsidRDefault="00DB7D67" w:rsidP="00DB7D67">
      <w:pPr>
        <w:pStyle w:val="p1"/>
        <w:numPr>
          <w:ilvl w:val="0"/>
          <w:numId w:val="1"/>
        </w:numPr>
        <w:spacing w:line="480" w:lineRule="auto"/>
      </w:pPr>
      <w:r>
        <w:t xml:space="preserve">Arora, A., M. Barrett, E. Lee, E. Oborn, and K. Prince. 2023. “Risk and the Future of AI: Algorithmic Bias, Data Colonialism, and Marginalization.” </w:t>
      </w:r>
      <w:r>
        <w:rPr>
          <w:i/>
          <w:iCs/>
        </w:rPr>
        <w:t>Information and Organization</w:t>
      </w:r>
      <w:r>
        <w:t xml:space="preserve"> 33 (3): 100478.</w:t>
      </w:r>
    </w:p>
    <w:p w14:paraId="010F630C" w14:textId="77777777" w:rsidR="00DB7D67" w:rsidRDefault="00DB7D67" w:rsidP="00DB7D67">
      <w:pPr>
        <w:pStyle w:val="p1"/>
        <w:numPr>
          <w:ilvl w:val="0"/>
          <w:numId w:val="1"/>
        </w:numPr>
        <w:spacing w:line="480" w:lineRule="auto"/>
      </w:pPr>
      <w:r>
        <w:lastRenderedPageBreak/>
        <w:t xml:space="preserve">Austin, J., A. Odena, M. Nye, M. Bosma, H. Michalewski, D. Dohan, … and C. Sutton. 2021. “Program Synthesis with Large Language Models.” </w:t>
      </w:r>
      <w:proofErr w:type="spellStart"/>
      <w:r>
        <w:t>arXiv</w:t>
      </w:r>
      <w:proofErr w:type="spellEnd"/>
      <w:r>
        <w:t xml:space="preserve"> preprint arXiv:2108.07732.</w:t>
      </w:r>
    </w:p>
    <w:p w14:paraId="4657714A" w14:textId="77777777" w:rsidR="00DB7D67" w:rsidRDefault="00DB7D67" w:rsidP="00DB7D67">
      <w:pPr>
        <w:pStyle w:val="p1"/>
        <w:numPr>
          <w:ilvl w:val="0"/>
          <w:numId w:val="1"/>
        </w:numPr>
        <w:spacing w:line="480" w:lineRule="auto"/>
      </w:pPr>
      <w:r>
        <w:t xml:space="preserve">Ayaz, A., and M. </w:t>
      </w:r>
      <w:proofErr w:type="spellStart"/>
      <w:r>
        <w:t>Yanartaş</w:t>
      </w:r>
      <w:proofErr w:type="spellEnd"/>
      <w:r>
        <w:t xml:space="preserve">. 2020. “An Analysis on the Unified Theory of Acceptance and Use of Technology Theory (UTAUT): Acceptance of Electronic Document Management System (EDMS).” </w:t>
      </w:r>
      <w:r>
        <w:rPr>
          <w:i/>
          <w:iCs/>
        </w:rPr>
        <w:t>Computers in Human Behavior Reports</w:t>
      </w:r>
      <w:r>
        <w:t xml:space="preserve"> 2: 100032. https://doi.org/10.1016/j.chbr.2020.100032.</w:t>
      </w:r>
    </w:p>
    <w:p w14:paraId="23A20AFD" w14:textId="77777777" w:rsidR="00DB7D67" w:rsidRDefault="00DB7D67" w:rsidP="00DB7D67">
      <w:pPr>
        <w:pStyle w:val="p1"/>
        <w:numPr>
          <w:ilvl w:val="0"/>
          <w:numId w:val="1"/>
        </w:numPr>
        <w:spacing w:line="480" w:lineRule="auto"/>
      </w:pPr>
      <w:r>
        <w:t xml:space="preserve">Ayyoub, A., Z. Khlaif, B. </w:t>
      </w:r>
      <w:proofErr w:type="spellStart"/>
      <w:r>
        <w:t>Hamamra</w:t>
      </w:r>
      <w:proofErr w:type="spellEnd"/>
      <w:r>
        <w:t xml:space="preserve">, E. Bensalem, M. Mitwally, M. Sanmugam, … and M. Khaldi. 2025. “Drivers of Acceptance of Generative AI through the Lens of the Extended Unified Theory of Acceptance and Use of Technology.” </w:t>
      </w:r>
      <w:r>
        <w:rPr>
          <w:i/>
          <w:iCs/>
        </w:rPr>
        <w:t>Human Behavior and Emerging Technologies</w:t>
      </w:r>
      <w:r>
        <w:t xml:space="preserve"> 2025 (1): 6265087.</w:t>
      </w:r>
    </w:p>
    <w:p w14:paraId="1A8C4874" w14:textId="77777777" w:rsidR="00DB7D67" w:rsidRDefault="00DB7D67" w:rsidP="00DB7D67">
      <w:pPr>
        <w:pStyle w:val="p1"/>
        <w:numPr>
          <w:ilvl w:val="0"/>
          <w:numId w:val="1"/>
        </w:numPr>
        <w:spacing w:line="480" w:lineRule="auto"/>
      </w:pPr>
      <w:r>
        <w:t xml:space="preserve">Baidoo-Anu, D., and L. O. Ansah. 2023. “Education in the Era of Generative Artificial Intelligence (AI): Understanding the Potential Benefits of ChatGPT in Promoting Teaching and Learning.” </w:t>
      </w:r>
      <w:r>
        <w:rPr>
          <w:i/>
          <w:iCs/>
        </w:rPr>
        <w:t>Journal of AI</w:t>
      </w:r>
      <w:r>
        <w:t xml:space="preserve"> 7 (1): 52–62.</w:t>
      </w:r>
    </w:p>
    <w:p w14:paraId="12C45AFE" w14:textId="77777777" w:rsidR="00DB7D67" w:rsidRDefault="00DB7D67" w:rsidP="00DB7D67">
      <w:pPr>
        <w:pStyle w:val="p1"/>
        <w:numPr>
          <w:ilvl w:val="0"/>
          <w:numId w:val="1"/>
        </w:numPr>
        <w:spacing w:line="480" w:lineRule="auto"/>
      </w:pPr>
      <w:r>
        <w:t xml:space="preserve">Bandura, A. 1986. </w:t>
      </w:r>
      <w:r>
        <w:rPr>
          <w:i/>
          <w:iCs/>
        </w:rPr>
        <w:t>Social Foundations of Thought and Action: A Social Cognitive Theory.</w:t>
      </w:r>
      <w:r>
        <w:t xml:space="preserve"> Prentice-Hall.</w:t>
      </w:r>
    </w:p>
    <w:p w14:paraId="11E37561" w14:textId="77777777" w:rsidR="00DB7D67" w:rsidRDefault="00DB7D67" w:rsidP="00DB7D67">
      <w:pPr>
        <w:pStyle w:val="p1"/>
        <w:numPr>
          <w:ilvl w:val="0"/>
          <w:numId w:val="1"/>
        </w:numPr>
        <w:spacing w:line="480" w:lineRule="auto"/>
      </w:pPr>
      <w:r>
        <w:t xml:space="preserve">Bender, E. M., T. Gebru, A. McMillan-Major, and S. </w:t>
      </w:r>
      <w:proofErr w:type="spellStart"/>
      <w:r>
        <w:t>Shmitchell</w:t>
      </w:r>
      <w:proofErr w:type="spellEnd"/>
      <w:r>
        <w:t xml:space="preserve">. 2021. “On the Dangers of Stochastic Parrots: Can Language Models Be Too Big?” </w:t>
      </w:r>
      <w:proofErr w:type="spellStart"/>
      <w:r>
        <w:rPr>
          <w:i/>
          <w:iCs/>
        </w:rPr>
        <w:t>FAccT</w:t>
      </w:r>
      <w:proofErr w:type="spellEnd"/>
      <w:r>
        <w:rPr>
          <w:i/>
          <w:iCs/>
        </w:rPr>
        <w:t xml:space="preserve"> ’21: Proceedings of the 2021 ACM Conference on Fairness, Accountability, and Transparency</w:t>
      </w:r>
      <w:r>
        <w:t>.</w:t>
      </w:r>
    </w:p>
    <w:p w14:paraId="5E1AB911" w14:textId="77777777" w:rsidR="00DB7D67" w:rsidRDefault="00DB7D67" w:rsidP="00DB7D67">
      <w:pPr>
        <w:pStyle w:val="p1"/>
        <w:numPr>
          <w:ilvl w:val="0"/>
          <w:numId w:val="1"/>
        </w:numPr>
        <w:spacing w:line="480" w:lineRule="auto"/>
      </w:pPr>
      <w:r>
        <w:t xml:space="preserve">Brand, D. J. 2023. “Ensuring the Ethical Development and Use of AI in Domestic Governance.” </w:t>
      </w:r>
      <w:r>
        <w:rPr>
          <w:i/>
          <w:iCs/>
        </w:rPr>
        <w:t>Journal of Ethics &amp; Legal Technologies</w:t>
      </w:r>
      <w:r>
        <w:t xml:space="preserve"> 5 (2): 95–109.</w:t>
      </w:r>
    </w:p>
    <w:p w14:paraId="423AAF2C" w14:textId="7D9F1133" w:rsidR="00DB7D67" w:rsidRDefault="00DB7D67" w:rsidP="00DB7D67">
      <w:pPr>
        <w:pStyle w:val="p1"/>
        <w:numPr>
          <w:ilvl w:val="0"/>
          <w:numId w:val="1"/>
        </w:numPr>
        <w:spacing w:line="480" w:lineRule="auto"/>
      </w:pPr>
      <w:r>
        <w:lastRenderedPageBreak/>
        <w:t xml:space="preserve">Brookings Institution. 2023. “The Global AI Race: Will US Innovation Lead or Lag?” Brookings. </w:t>
      </w:r>
      <w:hyperlink r:id="rId11" w:history="1">
        <w:r w:rsidR="00EE7ADA" w:rsidRPr="0093749D">
          <w:rPr>
            <w:rStyle w:val="Hyperlink"/>
          </w:rPr>
          <w:t>https://www.brookings.edu/articles/the-global-ai-race-will-us-innovation-lead-or-lag/</w:t>
        </w:r>
      </w:hyperlink>
      <w:r>
        <w:t>.</w:t>
      </w:r>
    </w:p>
    <w:p w14:paraId="31DD1302" w14:textId="6BC10B0B" w:rsidR="00EE7ADA" w:rsidRDefault="00EE7ADA" w:rsidP="00EE7ADA">
      <w:pPr>
        <w:pStyle w:val="p1"/>
        <w:numPr>
          <w:ilvl w:val="0"/>
          <w:numId w:val="1"/>
        </w:numPr>
        <w:spacing w:line="480" w:lineRule="auto"/>
      </w:pPr>
      <w:r>
        <w:t>Bouteraa, M., S. A. Bin-Nashwan, M. Al-</w:t>
      </w:r>
      <w:proofErr w:type="spellStart"/>
      <w:r>
        <w:t>Daihani</w:t>
      </w:r>
      <w:proofErr w:type="spellEnd"/>
      <w:r>
        <w:t xml:space="preserve">, K. A. Dirie, A. </w:t>
      </w:r>
      <w:proofErr w:type="spellStart"/>
      <w:r>
        <w:t>Benlahcene</w:t>
      </w:r>
      <w:proofErr w:type="spellEnd"/>
      <w:r>
        <w:t xml:space="preserve">, M. </w:t>
      </w:r>
      <w:proofErr w:type="spellStart"/>
      <w:r>
        <w:t>Sadallah</w:t>
      </w:r>
      <w:proofErr w:type="spellEnd"/>
      <w:r>
        <w:t xml:space="preserve">, … and B. </w:t>
      </w:r>
      <w:proofErr w:type="spellStart"/>
      <w:r>
        <w:t>Chekima</w:t>
      </w:r>
      <w:proofErr w:type="spellEnd"/>
      <w:r>
        <w:t xml:space="preserve">. 2024. “Understanding the Diffusion of AI-Generative (ChatGPT) in Higher Education: Does Students’ Integrity Matter?” </w:t>
      </w:r>
      <w:r>
        <w:rPr>
          <w:i/>
          <w:iCs/>
        </w:rPr>
        <w:t>Computers in Human Behavior Reports</w:t>
      </w:r>
      <w:r>
        <w:t xml:space="preserve"> 14: 100402.</w:t>
      </w:r>
    </w:p>
    <w:p w14:paraId="605EF756" w14:textId="77777777" w:rsidR="00DB7D67" w:rsidRDefault="00DB7D67" w:rsidP="00DB7D67">
      <w:pPr>
        <w:pStyle w:val="p1"/>
        <w:numPr>
          <w:ilvl w:val="0"/>
          <w:numId w:val="1"/>
        </w:numPr>
        <w:spacing w:line="480" w:lineRule="auto"/>
      </w:pPr>
      <w:r>
        <w:t xml:space="preserve">Brown, S. A., and V. Venkatesh. 2005. “Model of Adoption of Technology in the Household: A Baseline Model Test and Extension Incorporating Household Life Cycle.” </w:t>
      </w:r>
      <w:r>
        <w:rPr>
          <w:i/>
          <w:iCs/>
        </w:rPr>
        <w:t>MIS Quarterly</w:t>
      </w:r>
      <w:r>
        <w:t xml:space="preserve"> 29 (4): 399–426.</w:t>
      </w:r>
    </w:p>
    <w:p w14:paraId="36437B9B" w14:textId="77777777" w:rsidR="00DB7D67" w:rsidRDefault="00DB7D67" w:rsidP="00DB7D67">
      <w:pPr>
        <w:pStyle w:val="p1"/>
        <w:numPr>
          <w:ilvl w:val="0"/>
          <w:numId w:val="1"/>
        </w:numPr>
        <w:spacing w:line="480" w:lineRule="auto"/>
      </w:pPr>
      <w:r>
        <w:t xml:space="preserve">Brown, T., B. Mann, N. Ryder, M. Subbiah, J. D. Kaplan, P. Dhariwal, … and D. Amodei. 2020. “Language Models Are Few-Shot Learners.” </w:t>
      </w:r>
      <w:r>
        <w:rPr>
          <w:i/>
          <w:iCs/>
        </w:rPr>
        <w:t>Advances in Neural Information Processing Systems</w:t>
      </w:r>
      <w:r>
        <w:t xml:space="preserve"> 33: 1877–1901.</w:t>
      </w:r>
    </w:p>
    <w:p w14:paraId="000DC73A" w14:textId="77777777" w:rsidR="00DB7D67" w:rsidRDefault="00DB7D67" w:rsidP="00DB7D67">
      <w:pPr>
        <w:pStyle w:val="p1"/>
        <w:numPr>
          <w:ilvl w:val="0"/>
          <w:numId w:val="1"/>
        </w:numPr>
        <w:spacing w:line="480" w:lineRule="auto"/>
      </w:pPr>
      <w:r>
        <w:t xml:space="preserve">Cao, Z., and L. Peng. 2024. “An Empirical Study of Factors Influencing Usage Intention for Generative Artificial Intelligence Products: A Case Study of China.” </w:t>
      </w:r>
      <w:r>
        <w:rPr>
          <w:i/>
          <w:iCs/>
        </w:rPr>
        <w:t>Journal of Information Science</w:t>
      </w:r>
      <w:r>
        <w:t>, 01655515241297329.</w:t>
      </w:r>
    </w:p>
    <w:p w14:paraId="2BA0B58B" w14:textId="77777777" w:rsidR="00DB7D67" w:rsidRDefault="00DB7D67" w:rsidP="00DB7D67">
      <w:pPr>
        <w:pStyle w:val="p1"/>
        <w:numPr>
          <w:ilvl w:val="0"/>
          <w:numId w:val="1"/>
        </w:numPr>
        <w:spacing w:line="480" w:lineRule="auto"/>
      </w:pPr>
      <w:r>
        <w:t xml:space="preserve">Chang, Y., X. Wang, J. Wang, Y. Wu, L. Yang, K. Zhu, … and X. Xie. 2024. “A Survey on Evaluation of Large Language Models.” </w:t>
      </w:r>
      <w:r>
        <w:rPr>
          <w:i/>
          <w:iCs/>
        </w:rPr>
        <w:t>ACM Transactions on Intelligent Systems and Technology</w:t>
      </w:r>
      <w:r>
        <w:t xml:space="preserve"> 15 (3): 1–45.</w:t>
      </w:r>
    </w:p>
    <w:p w14:paraId="4F615530" w14:textId="77777777" w:rsidR="00DB7D67" w:rsidRDefault="00DB7D67" w:rsidP="00DB7D67">
      <w:pPr>
        <w:pStyle w:val="p1"/>
        <w:numPr>
          <w:ilvl w:val="0"/>
          <w:numId w:val="1"/>
        </w:numPr>
        <w:spacing w:line="480" w:lineRule="auto"/>
      </w:pPr>
      <w:r>
        <w:t xml:space="preserve">Chen, D., Y. Liu, Y. Guo, and Y. Zhang. 2024. “The Revolution of Generative Artificial Intelligence in Psychology: The Interweaving of Behavior, Consciousness, and Ethics.” </w:t>
      </w:r>
      <w:r>
        <w:rPr>
          <w:i/>
          <w:iCs/>
        </w:rPr>
        <w:t xml:space="preserve">Acta </w:t>
      </w:r>
      <w:proofErr w:type="spellStart"/>
      <w:r>
        <w:rPr>
          <w:i/>
          <w:iCs/>
        </w:rPr>
        <w:t>Psychologica</w:t>
      </w:r>
      <w:proofErr w:type="spellEnd"/>
      <w:r>
        <w:t xml:space="preserve"> 251: 104593.</w:t>
      </w:r>
    </w:p>
    <w:p w14:paraId="640DE2AF" w14:textId="77777777" w:rsidR="00DB7D67" w:rsidRDefault="00DB7D67" w:rsidP="00DB7D67">
      <w:pPr>
        <w:pStyle w:val="p1"/>
        <w:numPr>
          <w:ilvl w:val="0"/>
          <w:numId w:val="1"/>
        </w:numPr>
        <w:spacing w:line="480" w:lineRule="auto"/>
      </w:pPr>
      <w:r>
        <w:lastRenderedPageBreak/>
        <w:t xml:space="preserve">Choudhury, M. 2023. “Generative AI Has a Language Problem.” </w:t>
      </w:r>
      <w:r>
        <w:rPr>
          <w:i/>
          <w:iCs/>
        </w:rPr>
        <w:t xml:space="preserve">Nature Human </w:t>
      </w:r>
      <w:proofErr w:type="spellStart"/>
      <w:r>
        <w:rPr>
          <w:i/>
          <w:iCs/>
        </w:rPr>
        <w:t>Behaviour</w:t>
      </w:r>
      <w:proofErr w:type="spellEnd"/>
      <w:r>
        <w:t xml:space="preserve"> 7 (11): 1802–1803.</w:t>
      </w:r>
    </w:p>
    <w:p w14:paraId="03BE4206" w14:textId="77777777" w:rsidR="00DB7D67" w:rsidRDefault="00DB7D67" w:rsidP="00DB7D67">
      <w:pPr>
        <w:pStyle w:val="p1"/>
        <w:numPr>
          <w:ilvl w:val="0"/>
          <w:numId w:val="1"/>
        </w:numPr>
        <w:spacing w:line="480" w:lineRule="auto"/>
      </w:pPr>
      <w:r>
        <w:t xml:space="preserve">Corrales-Herrero, H., and B. Rodríguez-Prado. 2024. “Mapping the Occupations of Recent Graduates. The Role of Academic Background in the Digital Era.” </w:t>
      </w:r>
      <w:r>
        <w:rPr>
          <w:i/>
          <w:iCs/>
        </w:rPr>
        <w:t>Research in Higher Education</w:t>
      </w:r>
      <w:r>
        <w:t xml:space="preserve"> 65 (8): 1853–1882.</w:t>
      </w:r>
    </w:p>
    <w:p w14:paraId="34F7899E" w14:textId="77777777" w:rsidR="00DB7D67" w:rsidRDefault="00DB7D67" w:rsidP="00DB7D67">
      <w:pPr>
        <w:pStyle w:val="p1"/>
        <w:numPr>
          <w:ilvl w:val="0"/>
          <w:numId w:val="1"/>
        </w:numPr>
        <w:spacing w:line="480" w:lineRule="auto"/>
      </w:pPr>
      <w:r>
        <w:t>Cyberspace Administration of China. 2023. “Interim Measures for the Management of Generative AI Services.” July 10. https://www.cac.gov.cn/2023-07/13/c_1690898327029107.htm.</w:t>
      </w:r>
    </w:p>
    <w:p w14:paraId="17673709" w14:textId="77777777" w:rsidR="00DB7D67" w:rsidRDefault="00DB7D67" w:rsidP="00DB7D67">
      <w:pPr>
        <w:pStyle w:val="p1"/>
        <w:numPr>
          <w:ilvl w:val="0"/>
          <w:numId w:val="1"/>
        </w:numPr>
        <w:spacing w:line="480" w:lineRule="auto"/>
      </w:pPr>
      <w:r>
        <w:t xml:space="preserve">Dabis, A., and C. Csáki. 2024. “AI and Ethics: Investigating the First Policy Responses of Higher Education Institutions to the Challenge of GAI.” </w:t>
      </w:r>
      <w:r>
        <w:rPr>
          <w:i/>
          <w:iCs/>
        </w:rPr>
        <w:t>Humanities and Social Sciences Communications</w:t>
      </w:r>
      <w:r>
        <w:t xml:space="preserve"> 11 (1): 1006. https://doi.org/10.1057/s41599-024-03526-z.</w:t>
      </w:r>
    </w:p>
    <w:p w14:paraId="6DB7166E" w14:textId="77777777" w:rsidR="00DB7D67" w:rsidRDefault="00DB7D67" w:rsidP="00DB7D67">
      <w:pPr>
        <w:pStyle w:val="p1"/>
        <w:numPr>
          <w:ilvl w:val="0"/>
          <w:numId w:val="1"/>
        </w:numPr>
        <w:spacing w:line="480" w:lineRule="auto"/>
      </w:pPr>
      <w:r>
        <w:t xml:space="preserve">Davis, F. D. 1989. “Perceived Usefulness, Perceived Ease of Use, and User Acceptance of Information Technology.” </w:t>
      </w:r>
      <w:r>
        <w:rPr>
          <w:i/>
          <w:iCs/>
        </w:rPr>
        <w:t>MIS Quarterly</w:t>
      </w:r>
      <w:r>
        <w:t xml:space="preserve"> 13 (3): 319–339.</w:t>
      </w:r>
    </w:p>
    <w:p w14:paraId="23E462B6" w14:textId="77777777" w:rsidR="00DB7D67" w:rsidRDefault="00DB7D67" w:rsidP="00DB7D67">
      <w:pPr>
        <w:pStyle w:val="p1"/>
        <w:numPr>
          <w:ilvl w:val="0"/>
          <w:numId w:val="1"/>
        </w:numPr>
        <w:spacing w:line="480" w:lineRule="auto"/>
      </w:pPr>
      <w:r>
        <w:t xml:space="preserve">Dodds, W. B., K. B. Monroe, and D. Grewal. 1991. “Effects of Price, Brand, and Store Information on Buyers.” </w:t>
      </w:r>
      <w:r>
        <w:rPr>
          <w:i/>
          <w:iCs/>
        </w:rPr>
        <w:t>Journal of Marketing Research</w:t>
      </w:r>
      <w:r>
        <w:t xml:space="preserve"> 28 (3): 307–319.</w:t>
      </w:r>
    </w:p>
    <w:p w14:paraId="0BABB76A" w14:textId="77777777" w:rsidR="00DB7D67" w:rsidRDefault="00DB7D67" w:rsidP="00DB7D67">
      <w:pPr>
        <w:pStyle w:val="p1"/>
        <w:numPr>
          <w:ilvl w:val="0"/>
          <w:numId w:val="1"/>
        </w:numPr>
        <w:spacing w:line="480" w:lineRule="auto"/>
      </w:pPr>
      <w:r>
        <w:t xml:space="preserve">Du, L., and B. Lv. 2024. “Factors Influencing Students’ Acceptance and Use Generative Artificial Intelligence in Elementary Education: An Expansion of the UTAUT Model.” </w:t>
      </w:r>
      <w:r>
        <w:rPr>
          <w:i/>
          <w:iCs/>
        </w:rPr>
        <w:t>Education and Information Technologies</w:t>
      </w:r>
      <w:r>
        <w:t>: 1–20.</w:t>
      </w:r>
    </w:p>
    <w:p w14:paraId="55A80212" w14:textId="77777777" w:rsidR="00DB7D67" w:rsidRDefault="00DB7D67" w:rsidP="00DB7D67">
      <w:pPr>
        <w:pStyle w:val="p1"/>
        <w:numPr>
          <w:ilvl w:val="0"/>
          <w:numId w:val="1"/>
        </w:numPr>
        <w:spacing w:line="480" w:lineRule="auto"/>
      </w:pPr>
      <w:r>
        <w:t xml:space="preserve">European Commission. 2023. </w:t>
      </w:r>
      <w:r>
        <w:rPr>
          <w:i/>
          <w:iCs/>
        </w:rPr>
        <w:t>AI Report – By the European Digital Education Hub’s Squad on Artificial Intelligence in Education.</w:t>
      </w:r>
      <w:r>
        <w:t xml:space="preserve"> Publications Office of the European Union. https://data.europa.eu/doi/10.2797/828281.</w:t>
      </w:r>
    </w:p>
    <w:p w14:paraId="29645EF5" w14:textId="77777777" w:rsidR="00DB7D67" w:rsidRDefault="00DB7D67" w:rsidP="00DB7D67">
      <w:pPr>
        <w:pStyle w:val="p1"/>
        <w:numPr>
          <w:ilvl w:val="0"/>
          <w:numId w:val="1"/>
        </w:numPr>
        <w:spacing w:line="480" w:lineRule="auto"/>
      </w:pPr>
      <w:r>
        <w:lastRenderedPageBreak/>
        <w:t xml:space="preserve">Fan, L., K. Deng, and F. Liu. 2025. “Educational Impacts of Generative Artificial Intelligence on Learning and Performance of Engineering Students in China.” </w:t>
      </w:r>
      <w:r>
        <w:rPr>
          <w:i/>
          <w:iCs/>
        </w:rPr>
        <w:t>Scientific Reports</w:t>
      </w:r>
      <w:r>
        <w:t xml:space="preserve"> 15 (1): 26521.</w:t>
      </w:r>
    </w:p>
    <w:p w14:paraId="0A9B9E7F" w14:textId="77777777" w:rsidR="00DB7D67" w:rsidRDefault="00DB7D67" w:rsidP="00DB7D67">
      <w:pPr>
        <w:pStyle w:val="p1"/>
        <w:numPr>
          <w:ilvl w:val="0"/>
          <w:numId w:val="1"/>
        </w:numPr>
        <w:spacing w:line="480" w:lineRule="auto"/>
      </w:pPr>
      <w:r>
        <w:t xml:space="preserve">Feng, E. 2025. “Nvidia Discloses that U.S. Will Limit Sales of Advanced Chips to China after All.” </w:t>
      </w:r>
      <w:r>
        <w:rPr>
          <w:i/>
          <w:iCs/>
        </w:rPr>
        <w:t>Oregon Public Broadcasting</w:t>
      </w:r>
      <w:r>
        <w:t>, April 16. https://www.opb.org/article/2025/04/16/nvidia-says-u-s-will-limit-sales-of-advanced-chips-to-china/.</w:t>
      </w:r>
    </w:p>
    <w:p w14:paraId="0F1C182D" w14:textId="77777777" w:rsidR="00DB7D67" w:rsidRDefault="00DB7D67" w:rsidP="00DB7D67">
      <w:pPr>
        <w:pStyle w:val="p1"/>
        <w:numPr>
          <w:ilvl w:val="0"/>
          <w:numId w:val="1"/>
        </w:numPr>
        <w:spacing w:line="480" w:lineRule="auto"/>
      </w:pPr>
      <w:r>
        <w:t xml:space="preserve">Gu, M. 2006. “An Analysis of the Impact of Traditional Chinese Culture on Chinese Education.” </w:t>
      </w:r>
      <w:r>
        <w:rPr>
          <w:i/>
          <w:iCs/>
        </w:rPr>
        <w:t>Frontiers of Education in China</w:t>
      </w:r>
      <w:r>
        <w:t xml:space="preserve"> 1 (2): 169–190. https://doi.org/10.1007/s11516-006-0001-8.</w:t>
      </w:r>
    </w:p>
    <w:p w14:paraId="43D82601" w14:textId="77777777" w:rsidR="00DB7D67" w:rsidRDefault="00DB7D67" w:rsidP="00DB7D67">
      <w:pPr>
        <w:pStyle w:val="p1"/>
        <w:numPr>
          <w:ilvl w:val="0"/>
          <w:numId w:val="1"/>
        </w:numPr>
        <w:spacing w:line="480" w:lineRule="auto"/>
      </w:pPr>
      <w:r>
        <w:t xml:space="preserve">Guo, D., D. Yang, H. Zhang, J. Song, R. Zhang, R. Xu, … and Y. He. 2025. “Deepseek-R1: Incentivizing Reasoning Capability in LLMs via Reinforcement Learning.” </w:t>
      </w:r>
      <w:proofErr w:type="spellStart"/>
      <w:r>
        <w:t>arXiv</w:t>
      </w:r>
      <w:proofErr w:type="spellEnd"/>
      <w:r>
        <w:t xml:space="preserve"> preprint arXiv:2501.12948.</w:t>
      </w:r>
    </w:p>
    <w:p w14:paraId="5636BBEB" w14:textId="77777777" w:rsidR="00DB7D67" w:rsidRDefault="00DB7D67" w:rsidP="00DB7D67">
      <w:pPr>
        <w:pStyle w:val="p1"/>
        <w:numPr>
          <w:ilvl w:val="0"/>
          <w:numId w:val="1"/>
        </w:numPr>
        <w:spacing w:line="480" w:lineRule="auto"/>
      </w:pPr>
      <w:proofErr w:type="spellStart"/>
      <w:r>
        <w:t>Hamamra</w:t>
      </w:r>
      <w:proofErr w:type="spellEnd"/>
      <w:r>
        <w:t xml:space="preserve">, B., Z. N. Khlaif, and A. </w:t>
      </w:r>
      <w:proofErr w:type="spellStart"/>
      <w:r>
        <w:t>Mayaleh</w:t>
      </w:r>
      <w:proofErr w:type="spellEnd"/>
      <w:r>
        <w:t xml:space="preserve">. 2025. “Between Promise and Precarity: Palestinian University Educators’ Experiences with AI Integration in Higher Education.” </w:t>
      </w:r>
      <w:r>
        <w:rPr>
          <w:i/>
          <w:iCs/>
        </w:rPr>
        <w:t>Interactive Learning Environments</w:t>
      </w:r>
      <w:r>
        <w:t>: 1–16.</w:t>
      </w:r>
    </w:p>
    <w:p w14:paraId="0CD4121F" w14:textId="77777777" w:rsidR="00DB7D67" w:rsidRDefault="00DB7D67" w:rsidP="00DB7D67">
      <w:pPr>
        <w:pStyle w:val="p1"/>
        <w:numPr>
          <w:ilvl w:val="0"/>
          <w:numId w:val="1"/>
        </w:numPr>
        <w:spacing w:line="480" w:lineRule="auto"/>
      </w:pPr>
      <w:proofErr w:type="spellStart"/>
      <w:r>
        <w:t>Hendawy</w:t>
      </w:r>
      <w:proofErr w:type="spellEnd"/>
      <w:r>
        <w:t xml:space="preserve">, M. 2024. “The Intensified Digital Divide: Comprehending GenAI.” </w:t>
      </w:r>
      <w:r>
        <w:rPr>
          <w:i/>
          <w:iCs/>
        </w:rPr>
        <w:t>Internet Policy Review</w:t>
      </w:r>
      <w:r>
        <w:t>.</w:t>
      </w:r>
    </w:p>
    <w:p w14:paraId="3EC7EA61" w14:textId="77777777" w:rsidR="00DB7D67" w:rsidRDefault="00DB7D67" w:rsidP="00DB7D67">
      <w:pPr>
        <w:pStyle w:val="p1"/>
        <w:numPr>
          <w:ilvl w:val="0"/>
          <w:numId w:val="1"/>
        </w:numPr>
        <w:spacing w:line="480" w:lineRule="auto"/>
      </w:pPr>
      <w:r>
        <w:t xml:space="preserve">Hendrycks, D., C. Burns, S. Basart, A. Zou, M. Mazeika, D. Song, and J. Steinhardt. 2020. “Measuring Massive Multitask Language Understanding.” </w:t>
      </w:r>
      <w:proofErr w:type="spellStart"/>
      <w:r>
        <w:t>arXiv</w:t>
      </w:r>
      <w:proofErr w:type="spellEnd"/>
      <w:r>
        <w:t xml:space="preserve"> preprint arXiv:2009.03300.</w:t>
      </w:r>
    </w:p>
    <w:p w14:paraId="16777125" w14:textId="77777777" w:rsidR="00DB7D67" w:rsidRDefault="00DB7D67" w:rsidP="00DB7D67">
      <w:pPr>
        <w:pStyle w:val="p1"/>
        <w:numPr>
          <w:ilvl w:val="0"/>
          <w:numId w:val="1"/>
        </w:numPr>
        <w:spacing w:line="480" w:lineRule="auto"/>
      </w:pPr>
      <w:r>
        <w:lastRenderedPageBreak/>
        <w:t xml:space="preserve">Hendrycks, D., C. Burns, S. </w:t>
      </w:r>
      <w:proofErr w:type="spellStart"/>
      <w:r>
        <w:t>Kadavath</w:t>
      </w:r>
      <w:proofErr w:type="spellEnd"/>
      <w:r>
        <w:t xml:space="preserve">, A. Arora, S. Basart, E. Tang, … and J. Steinhardt. 2021. “Measuring Mathematical Problem Solving with the Math Dataset.” </w:t>
      </w:r>
      <w:proofErr w:type="spellStart"/>
      <w:r>
        <w:t>arXiv</w:t>
      </w:r>
      <w:proofErr w:type="spellEnd"/>
      <w:r>
        <w:t xml:space="preserve"> preprint arXiv:2103.03874.</w:t>
      </w:r>
    </w:p>
    <w:p w14:paraId="7F3C4D1D" w14:textId="77777777" w:rsidR="00DB7D67" w:rsidRDefault="00DB7D67" w:rsidP="00DB7D67">
      <w:pPr>
        <w:pStyle w:val="p1"/>
        <w:numPr>
          <w:ilvl w:val="0"/>
          <w:numId w:val="1"/>
        </w:numPr>
        <w:spacing w:line="480" w:lineRule="auto"/>
      </w:pPr>
      <w:r>
        <w:t xml:space="preserve">Huang, Y., Y. Bai, Z. Zhu, J. Zhang, J. Zhang, T. Su, … and J. He. 2023. “C-Eval: A Multi-Level Multi-Discipline Chinese Evaluation Suite for Foundation Models.” </w:t>
      </w:r>
      <w:r>
        <w:rPr>
          <w:i/>
          <w:iCs/>
        </w:rPr>
        <w:t>Advances in Neural Information Processing Systems</w:t>
      </w:r>
      <w:r>
        <w:t xml:space="preserve"> 36: 62991–63010.</w:t>
      </w:r>
    </w:p>
    <w:p w14:paraId="476745F9" w14:textId="77777777" w:rsidR="00DB7D67" w:rsidRDefault="00DB7D67" w:rsidP="00DB7D67">
      <w:pPr>
        <w:pStyle w:val="p1"/>
        <w:numPr>
          <w:ilvl w:val="0"/>
          <w:numId w:val="1"/>
        </w:numPr>
        <w:spacing w:line="480" w:lineRule="auto"/>
      </w:pPr>
      <w:r>
        <w:t xml:space="preserve">Ivanov, S., M. Soliman, A. Tuomi, N. A. Alkathiri, and A. N. Al-Alawi. 2024. “Drivers of Generative AI Adoption in Higher Education through the Lens of the Theory of Planned </w:t>
      </w:r>
      <w:proofErr w:type="spellStart"/>
      <w:r>
        <w:t>Behaviour</w:t>
      </w:r>
      <w:proofErr w:type="spellEnd"/>
      <w:r>
        <w:t xml:space="preserve">.” </w:t>
      </w:r>
      <w:r>
        <w:rPr>
          <w:i/>
          <w:iCs/>
        </w:rPr>
        <w:t>Technology in Society</w:t>
      </w:r>
      <w:r>
        <w:t xml:space="preserve"> 77: 102521.</w:t>
      </w:r>
    </w:p>
    <w:p w14:paraId="5FF445A2" w14:textId="77777777" w:rsidR="00DB7D67" w:rsidRDefault="00DB7D67" w:rsidP="00DB7D67">
      <w:pPr>
        <w:pStyle w:val="p1"/>
        <w:numPr>
          <w:ilvl w:val="0"/>
          <w:numId w:val="1"/>
        </w:numPr>
        <w:spacing w:line="480" w:lineRule="auto"/>
      </w:pPr>
      <w:r>
        <w:t xml:space="preserve">Jiang, A. Q., A. </w:t>
      </w:r>
      <w:proofErr w:type="spellStart"/>
      <w:r>
        <w:t>Sablayrolles</w:t>
      </w:r>
      <w:proofErr w:type="spellEnd"/>
      <w:r>
        <w:t>, A. Roux, A. Mensch, B. Savary, C. Bamford, … and W. E. Sayed. 2024. “</w:t>
      </w:r>
      <w:proofErr w:type="spellStart"/>
      <w:r>
        <w:t>Mixtral</w:t>
      </w:r>
      <w:proofErr w:type="spellEnd"/>
      <w:r>
        <w:t xml:space="preserve"> of Experts.” </w:t>
      </w:r>
      <w:proofErr w:type="spellStart"/>
      <w:r>
        <w:t>arXiv</w:t>
      </w:r>
      <w:proofErr w:type="spellEnd"/>
      <w:r>
        <w:t xml:space="preserve"> preprint arXiv:2401.04088.</w:t>
      </w:r>
    </w:p>
    <w:p w14:paraId="3920526F" w14:textId="77777777" w:rsidR="00DB7D67" w:rsidRDefault="00DB7D67" w:rsidP="00DB7D67">
      <w:pPr>
        <w:pStyle w:val="p1"/>
        <w:numPr>
          <w:ilvl w:val="0"/>
          <w:numId w:val="1"/>
        </w:numPr>
        <w:spacing w:line="480" w:lineRule="auto"/>
      </w:pPr>
      <w:r>
        <w:t xml:space="preserve">Johnston, H., R. F. Wells, E. M. Shanks, T. Boey, and B. N. Parsons. 2024. “Student Perspectives on the Use of Generative Artificial Intelligence Technologies in Higher Education.” </w:t>
      </w:r>
      <w:r>
        <w:rPr>
          <w:i/>
          <w:iCs/>
        </w:rPr>
        <w:t>International Journal for Educational Integrity</w:t>
      </w:r>
      <w:r>
        <w:t xml:space="preserve"> 20 (1): 2.</w:t>
      </w:r>
    </w:p>
    <w:p w14:paraId="28074C76" w14:textId="77777777" w:rsidR="00DB7D67" w:rsidRDefault="00DB7D67" w:rsidP="00DB7D67">
      <w:pPr>
        <w:pStyle w:val="p1"/>
        <w:numPr>
          <w:ilvl w:val="0"/>
          <w:numId w:val="1"/>
        </w:numPr>
        <w:spacing w:line="480" w:lineRule="auto"/>
      </w:pPr>
      <w:r>
        <w:t xml:space="preserve">Kallio, H., A. M. Pietilä, M. Johnson, and M. Kangasniemi. 2016. “Systematic Methodological Review: Developing a Framework for a Qualitative Semi‐Structured Interview Guide.” </w:t>
      </w:r>
      <w:r>
        <w:rPr>
          <w:i/>
          <w:iCs/>
        </w:rPr>
        <w:t>Journal of Advanced Nursing</w:t>
      </w:r>
      <w:r>
        <w:t xml:space="preserve"> 72 (12): 2954–2965.</w:t>
      </w:r>
    </w:p>
    <w:p w14:paraId="3B0D0011" w14:textId="77777777" w:rsidR="00DB7D67" w:rsidRDefault="00DB7D67" w:rsidP="00DB7D67">
      <w:pPr>
        <w:pStyle w:val="p1"/>
        <w:numPr>
          <w:ilvl w:val="0"/>
          <w:numId w:val="1"/>
        </w:numPr>
        <w:spacing w:line="480" w:lineRule="auto"/>
      </w:pPr>
      <w:r>
        <w:t xml:space="preserve">Kelly, A., M. Sullivan, and K. </w:t>
      </w:r>
      <w:proofErr w:type="spellStart"/>
      <w:r>
        <w:t>Strampel</w:t>
      </w:r>
      <w:proofErr w:type="spellEnd"/>
      <w:r>
        <w:t xml:space="preserve">. 2023. “Generative Artificial Intelligence: University Student Awareness, Experience, and Confidence in Use across Disciplines.” </w:t>
      </w:r>
      <w:r>
        <w:rPr>
          <w:i/>
          <w:iCs/>
        </w:rPr>
        <w:t>Journal of University Teaching and Learning Practice</w:t>
      </w:r>
      <w:r>
        <w:t xml:space="preserve"> 20 (6): 1–16.</w:t>
      </w:r>
    </w:p>
    <w:p w14:paraId="7CC864AA" w14:textId="77777777" w:rsidR="00DB7D67" w:rsidRDefault="00DB7D67" w:rsidP="00DB7D67">
      <w:pPr>
        <w:pStyle w:val="p1"/>
        <w:numPr>
          <w:ilvl w:val="0"/>
          <w:numId w:val="1"/>
        </w:numPr>
        <w:spacing w:line="480" w:lineRule="auto"/>
      </w:pPr>
      <w:r>
        <w:t xml:space="preserve">Khlaif, Z. N., B. </w:t>
      </w:r>
      <w:proofErr w:type="spellStart"/>
      <w:r>
        <w:t>Hamamra</w:t>
      </w:r>
      <w:proofErr w:type="spellEnd"/>
      <w:r>
        <w:t xml:space="preserve">, E. Bensalem, M. A. Mitwally, and M. Sanmugam. 2025. “Factors Influencing Educators’ Technostress While Using Generative AI: A Qualitative Study.” </w:t>
      </w:r>
      <w:r>
        <w:rPr>
          <w:i/>
          <w:iCs/>
        </w:rPr>
        <w:t>Technology, Knowledge and Learning</w:t>
      </w:r>
      <w:r>
        <w:t>: 1–26.</w:t>
      </w:r>
    </w:p>
    <w:p w14:paraId="2ECABB74" w14:textId="77777777" w:rsidR="00DB7D67" w:rsidRDefault="00DB7D67" w:rsidP="00DB7D67">
      <w:pPr>
        <w:pStyle w:val="p1"/>
        <w:numPr>
          <w:ilvl w:val="0"/>
          <w:numId w:val="1"/>
        </w:numPr>
        <w:spacing w:line="480" w:lineRule="auto"/>
      </w:pPr>
      <w:proofErr w:type="spellStart"/>
      <w:r>
        <w:lastRenderedPageBreak/>
        <w:t>Kizilcec</w:t>
      </w:r>
      <w:proofErr w:type="spellEnd"/>
      <w:r>
        <w:t xml:space="preserve">, R. F., E. Huber, E. C. Papanastasiou, A. Cram, C. A. Makridis, A. Smolansky, … and C. </w:t>
      </w:r>
      <w:proofErr w:type="spellStart"/>
      <w:r>
        <w:t>Raduescu</w:t>
      </w:r>
      <w:proofErr w:type="spellEnd"/>
      <w:r>
        <w:t xml:space="preserve">. 2024. “Perceived Impact of Generative AI on Assessments: Comparing Educator and Student Perspectives in Australia, Cyprus, and the United States.” </w:t>
      </w:r>
      <w:r>
        <w:rPr>
          <w:i/>
          <w:iCs/>
        </w:rPr>
        <w:t>Computers and Education: Artificial Intelligence</w:t>
      </w:r>
      <w:r>
        <w:t xml:space="preserve"> 7: 100269.</w:t>
      </w:r>
    </w:p>
    <w:p w14:paraId="328627FC" w14:textId="77777777" w:rsidR="00DB7D67" w:rsidRDefault="00DB7D67" w:rsidP="00DB7D67">
      <w:pPr>
        <w:pStyle w:val="p1"/>
        <w:numPr>
          <w:ilvl w:val="0"/>
          <w:numId w:val="1"/>
        </w:numPr>
        <w:spacing w:line="480" w:lineRule="auto"/>
      </w:pPr>
      <w:r>
        <w:t xml:space="preserve">Kobayashi, K., Z. Wan, F. Cheng, Y. </w:t>
      </w:r>
      <w:proofErr w:type="spellStart"/>
      <w:r>
        <w:t>Tsuta</w:t>
      </w:r>
      <w:proofErr w:type="spellEnd"/>
      <w:r>
        <w:t xml:space="preserve">, X. Zhao, J. Jiang, J. Huang, … and S. Kurohashi. 2025. “Leveraging High-Resource English Corpora for Cross-Lingual Domain Adaptation in Low-Resource Japanese Medicine via Continued Pre-Training.” In </w:t>
      </w:r>
      <w:r>
        <w:rPr>
          <w:i/>
          <w:iCs/>
        </w:rPr>
        <w:t>Findings of the Association for Computational Linguistics: EMNLP 2025</w:t>
      </w:r>
      <w:r>
        <w:t>.</w:t>
      </w:r>
    </w:p>
    <w:p w14:paraId="5FB8B607" w14:textId="77777777" w:rsidR="00DB7D67" w:rsidRDefault="00DB7D67" w:rsidP="00DB7D67">
      <w:pPr>
        <w:pStyle w:val="p1"/>
        <w:numPr>
          <w:ilvl w:val="0"/>
          <w:numId w:val="1"/>
        </w:numPr>
        <w:spacing w:line="480" w:lineRule="auto"/>
      </w:pPr>
      <w:r>
        <w:t xml:space="preserve">Kshetri, N. 2024. “Linguistic Challenges in Generative Artificial Intelligence: Implications for Low-Resource Languages in the Developing World.” </w:t>
      </w:r>
      <w:r>
        <w:rPr>
          <w:i/>
          <w:iCs/>
        </w:rPr>
        <w:t>Journal of Global Information Technology Management</w:t>
      </w:r>
      <w:r>
        <w:t xml:space="preserve"> 27 (2): 95–99.</w:t>
      </w:r>
    </w:p>
    <w:p w14:paraId="4C2C0F52" w14:textId="77777777" w:rsidR="00DB7D67" w:rsidRPr="00DB7D67" w:rsidRDefault="00DB7D67" w:rsidP="00DB7D67">
      <w:pPr>
        <w:pStyle w:val="p1"/>
        <w:numPr>
          <w:ilvl w:val="0"/>
          <w:numId w:val="1"/>
        </w:numPr>
        <w:spacing w:line="480" w:lineRule="auto"/>
        <w:rPr>
          <w:lang w:val="fr-FR"/>
        </w:rPr>
      </w:pPr>
      <w:proofErr w:type="spellStart"/>
      <w:r w:rsidRPr="00DB7D67">
        <w:rPr>
          <w:lang w:val="fr-FR"/>
        </w:rPr>
        <w:t>Kvale</w:t>
      </w:r>
      <w:proofErr w:type="spellEnd"/>
      <w:r w:rsidRPr="00DB7D67">
        <w:rPr>
          <w:lang w:val="fr-FR"/>
        </w:rPr>
        <w:t xml:space="preserve">, S. 1996. “The 1,000-Page Question.” </w:t>
      </w:r>
      <w:r w:rsidRPr="00DB7D67">
        <w:rPr>
          <w:i/>
          <w:iCs/>
          <w:lang w:val="fr-FR"/>
        </w:rPr>
        <w:t xml:space="preserve">Qualitative </w:t>
      </w:r>
      <w:proofErr w:type="spellStart"/>
      <w:r w:rsidRPr="00DB7D67">
        <w:rPr>
          <w:i/>
          <w:iCs/>
          <w:lang w:val="fr-FR"/>
        </w:rPr>
        <w:t>Inquiry</w:t>
      </w:r>
      <w:proofErr w:type="spellEnd"/>
      <w:r w:rsidRPr="00DB7D67">
        <w:rPr>
          <w:lang w:val="fr-FR"/>
        </w:rPr>
        <w:t xml:space="preserve"> 2 (3</w:t>
      </w:r>
      <w:proofErr w:type="gramStart"/>
      <w:r w:rsidRPr="00DB7D67">
        <w:rPr>
          <w:lang w:val="fr-FR"/>
        </w:rPr>
        <w:t>):</w:t>
      </w:r>
      <w:proofErr w:type="gramEnd"/>
      <w:r w:rsidRPr="00DB7D67">
        <w:rPr>
          <w:lang w:val="fr-FR"/>
        </w:rPr>
        <w:t xml:space="preserve"> 275–284.</w:t>
      </w:r>
    </w:p>
    <w:p w14:paraId="5154A264" w14:textId="77777777" w:rsidR="00DB7D67" w:rsidRDefault="00DB7D67" w:rsidP="00DB7D67">
      <w:pPr>
        <w:pStyle w:val="p1"/>
        <w:numPr>
          <w:ilvl w:val="0"/>
          <w:numId w:val="1"/>
        </w:numPr>
        <w:spacing w:line="480" w:lineRule="auto"/>
      </w:pPr>
      <w:r>
        <w:t xml:space="preserve">Lee, K. F. 2018. </w:t>
      </w:r>
      <w:r>
        <w:rPr>
          <w:i/>
          <w:iCs/>
        </w:rPr>
        <w:t>AI Superpowers: China, Silicon Valley, and the New World Order.</w:t>
      </w:r>
      <w:r>
        <w:t xml:space="preserve"> Harper Business.</w:t>
      </w:r>
    </w:p>
    <w:p w14:paraId="36E6BBDB" w14:textId="37B8646C" w:rsidR="00DB7D67" w:rsidRDefault="00DB7D67" w:rsidP="00DB7D67">
      <w:pPr>
        <w:pStyle w:val="p1"/>
        <w:numPr>
          <w:ilvl w:val="0"/>
          <w:numId w:val="1"/>
        </w:numPr>
        <w:spacing w:line="480" w:lineRule="auto"/>
      </w:pPr>
      <w:r>
        <w:t xml:space="preserve">Li, M., A. </w:t>
      </w:r>
      <w:proofErr w:type="spellStart"/>
      <w:r>
        <w:t>Enkhtur</w:t>
      </w:r>
      <w:proofErr w:type="spellEnd"/>
      <w:r>
        <w:t xml:space="preserve">, B. A. Yamamoto, F. Cheng, and L. Chen. 2025. “Potential Societal Biases of ChatGPT in Higher Education: A Scoping Review.” </w:t>
      </w:r>
      <w:r>
        <w:rPr>
          <w:i/>
          <w:iCs/>
        </w:rPr>
        <w:t>Open Praxis</w:t>
      </w:r>
      <w:r>
        <w:t xml:space="preserve"> 17 (1): 79–94. https://search.informit.org/doi/10.3316/informit.T2025042400006500644627304.</w:t>
      </w:r>
    </w:p>
    <w:p w14:paraId="4CC19F1E" w14:textId="77777777" w:rsidR="00DB7D67" w:rsidRDefault="00DB7D67" w:rsidP="00DB7D67">
      <w:pPr>
        <w:pStyle w:val="p1"/>
        <w:numPr>
          <w:ilvl w:val="0"/>
          <w:numId w:val="1"/>
        </w:numPr>
        <w:spacing w:line="480" w:lineRule="auto"/>
      </w:pPr>
      <w:r>
        <w:t xml:space="preserve">Li, M., F. Cheng, A. </w:t>
      </w:r>
      <w:proofErr w:type="spellStart"/>
      <w:r>
        <w:t>Enkhtur</w:t>
      </w:r>
      <w:proofErr w:type="spellEnd"/>
      <w:r>
        <w:t xml:space="preserve">, and B. A. Yamamoto. 2024. “Ethical Implications of ChatGPT in Higher Education: A Scoping Review.” </w:t>
      </w:r>
      <w:r>
        <w:rPr>
          <w:i/>
          <w:iCs/>
        </w:rPr>
        <w:t>Journal of Interdisciplinary Studies in Education</w:t>
      </w:r>
      <w:r>
        <w:t xml:space="preserve"> 13 (1): 55–68.</w:t>
      </w:r>
    </w:p>
    <w:p w14:paraId="3B022494" w14:textId="37CD2659" w:rsidR="00DB7D67" w:rsidRDefault="00DB7D67" w:rsidP="00DB7D67">
      <w:pPr>
        <w:pStyle w:val="p1"/>
        <w:numPr>
          <w:ilvl w:val="0"/>
          <w:numId w:val="1"/>
        </w:numPr>
        <w:spacing w:line="480" w:lineRule="auto"/>
      </w:pPr>
      <w:r>
        <w:t xml:space="preserve">Li, M., Q. Xie, A. </w:t>
      </w:r>
      <w:proofErr w:type="spellStart"/>
      <w:r>
        <w:t>Enkhtur</w:t>
      </w:r>
      <w:proofErr w:type="spellEnd"/>
      <w:r>
        <w:t xml:space="preserve">, S. Meng, L. Chen, B. A. Yamamoto, … and M. Murakami. 2025. “A Framework for Developing University Policies on Generative AI Governance: A Cross-National Comparative Study.” </w:t>
      </w:r>
      <w:proofErr w:type="spellStart"/>
      <w:r>
        <w:t>arXiv</w:t>
      </w:r>
      <w:proofErr w:type="spellEnd"/>
      <w:r>
        <w:t xml:space="preserve"> preprint arXiv:2504.02636.</w:t>
      </w:r>
    </w:p>
    <w:p w14:paraId="5C422412" w14:textId="77777777" w:rsidR="00DB7D67" w:rsidRDefault="00DB7D67" w:rsidP="00DB7D67">
      <w:pPr>
        <w:pStyle w:val="p1"/>
        <w:numPr>
          <w:ilvl w:val="0"/>
          <w:numId w:val="1"/>
        </w:numPr>
        <w:spacing w:line="480" w:lineRule="auto"/>
      </w:pPr>
      <w:r>
        <w:lastRenderedPageBreak/>
        <w:t xml:space="preserve">Liu, A., B. Feng, B. Xue, B. Wang, B. Wu, C. Lu, … and Y. Piao. 2024. “DeepSeek-V3 Technical Report.” </w:t>
      </w:r>
      <w:proofErr w:type="spellStart"/>
      <w:r>
        <w:t>arXiv</w:t>
      </w:r>
      <w:proofErr w:type="spellEnd"/>
      <w:r>
        <w:t xml:space="preserve"> preprint arXiv:2412.19437.</w:t>
      </w:r>
    </w:p>
    <w:p w14:paraId="706EAC5D" w14:textId="77777777" w:rsidR="00DB7D67" w:rsidRDefault="00DB7D67" w:rsidP="00DB7D67">
      <w:pPr>
        <w:pStyle w:val="p1"/>
        <w:numPr>
          <w:ilvl w:val="0"/>
          <w:numId w:val="1"/>
        </w:numPr>
        <w:spacing w:line="480" w:lineRule="auto"/>
      </w:pPr>
      <w:r>
        <w:t xml:space="preserve">Liu, G. L., R. Darvin, and C. Ma. 2024. “Unpacking the Role of Motivation and Enjoyment in AI-Mediated Informal Digital Learning of English (AI-IDLE): A Mixed-Method Investigation in the Chinese Context.” </w:t>
      </w:r>
      <w:r>
        <w:rPr>
          <w:i/>
          <w:iCs/>
        </w:rPr>
        <w:t>Computers in Human Behavior</w:t>
      </w:r>
      <w:r>
        <w:t xml:space="preserve"> 160: 108362.</w:t>
      </w:r>
    </w:p>
    <w:p w14:paraId="60D76637" w14:textId="38D4D428" w:rsidR="00DB7D67" w:rsidRDefault="00DB7D67" w:rsidP="00DB7D67">
      <w:pPr>
        <w:pStyle w:val="p1"/>
        <w:numPr>
          <w:ilvl w:val="0"/>
          <w:numId w:val="1"/>
        </w:numPr>
        <w:spacing w:line="480" w:lineRule="auto"/>
      </w:pPr>
      <w:r>
        <w:t xml:space="preserve">Liu, G. L., J. S. Lee, and X. Zhao. 2025. “Critical Digital Literacies, Agentic Practices, and AI-Mediated Informal Digital Learning of English.” </w:t>
      </w:r>
      <w:r>
        <w:rPr>
          <w:i/>
          <w:iCs/>
        </w:rPr>
        <w:t>System</w:t>
      </w:r>
      <w:r>
        <w:t>: 103797.</w:t>
      </w:r>
    </w:p>
    <w:p w14:paraId="4279448A" w14:textId="1302976B" w:rsidR="00DB7D67" w:rsidRDefault="00DB7D67" w:rsidP="00DB7D67">
      <w:pPr>
        <w:pStyle w:val="p1"/>
        <w:numPr>
          <w:ilvl w:val="0"/>
          <w:numId w:val="1"/>
        </w:numPr>
        <w:spacing w:line="480" w:lineRule="auto"/>
      </w:pPr>
      <w:r>
        <w:t xml:space="preserve">Liu, Q., K. Q. Wang, F. Cheng, and S. Kurohashi. 2025. “Assessing Large Language Models in Agentic Multilingual National Bias.” </w:t>
      </w:r>
      <w:proofErr w:type="spellStart"/>
      <w:r>
        <w:t>arXiv</w:t>
      </w:r>
      <w:proofErr w:type="spellEnd"/>
      <w:r>
        <w:t xml:space="preserve"> preprint arXiv:2502.17945.</w:t>
      </w:r>
    </w:p>
    <w:p w14:paraId="414745F0" w14:textId="77777777" w:rsidR="00DB7D67" w:rsidRDefault="00DB7D67" w:rsidP="00DB7D67">
      <w:pPr>
        <w:pStyle w:val="p1"/>
        <w:numPr>
          <w:ilvl w:val="0"/>
          <w:numId w:val="1"/>
        </w:numPr>
        <w:spacing w:line="480" w:lineRule="auto"/>
      </w:pPr>
      <w:r>
        <w:t xml:space="preserve">Mathieson, K. 1991. “Predicting User Intentions: Comparing the Technology Acceptance Model with the Theory of Planned Behavior.” </w:t>
      </w:r>
      <w:r>
        <w:rPr>
          <w:i/>
          <w:iCs/>
        </w:rPr>
        <w:t>Information Systems Research</w:t>
      </w:r>
      <w:r>
        <w:t xml:space="preserve"> 2 (3): 173–191. https://doi.org/10.1287/isre.2.3.173.</w:t>
      </w:r>
    </w:p>
    <w:p w14:paraId="6652DFED" w14:textId="77777777" w:rsidR="00DB7D67" w:rsidRDefault="00DB7D67" w:rsidP="00DB7D67">
      <w:pPr>
        <w:pStyle w:val="p1"/>
        <w:numPr>
          <w:ilvl w:val="0"/>
          <w:numId w:val="1"/>
        </w:numPr>
        <w:spacing w:line="480" w:lineRule="auto"/>
      </w:pPr>
      <w:r>
        <w:t xml:space="preserve">Miao, F., and W. Holmes. 2023. </w:t>
      </w:r>
      <w:r>
        <w:rPr>
          <w:i/>
          <w:iCs/>
        </w:rPr>
        <w:t>Guidance for Generative AI in Education and Research.</w:t>
      </w:r>
      <w:r>
        <w:t xml:space="preserve"> UNESCO. https://unesdoc.unesco.org/ark:/48223/pf0000386693.</w:t>
      </w:r>
    </w:p>
    <w:p w14:paraId="14657BD7" w14:textId="77777777" w:rsidR="00DB7D67" w:rsidRDefault="00DB7D67" w:rsidP="00DB7D67">
      <w:pPr>
        <w:pStyle w:val="p1"/>
        <w:numPr>
          <w:ilvl w:val="0"/>
          <w:numId w:val="1"/>
        </w:numPr>
        <w:spacing w:line="480" w:lineRule="auto"/>
      </w:pPr>
      <w:r>
        <w:t>Mollema, T. 2024. “‘AI Colonialism’ is a Conceptual Metaphor.” Master’s thesis.</w:t>
      </w:r>
    </w:p>
    <w:p w14:paraId="144C9A6F" w14:textId="77777777" w:rsidR="00DB7D67" w:rsidRDefault="00DB7D67" w:rsidP="00DB7D67">
      <w:pPr>
        <w:pStyle w:val="p1"/>
        <w:numPr>
          <w:ilvl w:val="0"/>
          <w:numId w:val="1"/>
        </w:numPr>
        <w:spacing w:line="480" w:lineRule="auto"/>
      </w:pPr>
      <w:proofErr w:type="spellStart"/>
      <w:r>
        <w:t>Nyaaba</w:t>
      </w:r>
      <w:proofErr w:type="spellEnd"/>
      <w:r>
        <w:t xml:space="preserve">, M., A. Wright, and G. L. Choi. 2024. “Generative AI and Digital Neocolonialism in Global Education: Towards an Equitable Framework.” </w:t>
      </w:r>
      <w:proofErr w:type="spellStart"/>
      <w:r>
        <w:t>arXiv</w:t>
      </w:r>
      <w:proofErr w:type="spellEnd"/>
      <w:r>
        <w:t xml:space="preserve"> preprint arXiv:2406.02966.</w:t>
      </w:r>
    </w:p>
    <w:p w14:paraId="59CD580F" w14:textId="77777777" w:rsidR="00DB7D67" w:rsidRDefault="00DB7D67" w:rsidP="00DB7D67">
      <w:pPr>
        <w:pStyle w:val="p1"/>
        <w:numPr>
          <w:ilvl w:val="0"/>
          <w:numId w:val="1"/>
        </w:numPr>
        <w:spacing w:line="480" w:lineRule="auto"/>
      </w:pPr>
      <w:r>
        <w:t xml:space="preserve">Okrent, A., and A. Burke. 2021. </w:t>
      </w:r>
      <w:r>
        <w:rPr>
          <w:i/>
          <w:iCs/>
        </w:rPr>
        <w:t>The STEM Labor Force of Today: Scientists, Engineers, and Skilled Technical Workers.</w:t>
      </w:r>
      <w:r>
        <w:t xml:space="preserve"> National Center for Science and Engineering Statistics, National Science Foundation.</w:t>
      </w:r>
    </w:p>
    <w:p w14:paraId="35B81915" w14:textId="77777777" w:rsidR="00DB7D67" w:rsidRDefault="00DB7D67" w:rsidP="00DB7D67">
      <w:pPr>
        <w:pStyle w:val="p1"/>
        <w:numPr>
          <w:ilvl w:val="0"/>
          <w:numId w:val="1"/>
        </w:numPr>
        <w:spacing w:line="480" w:lineRule="auto"/>
      </w:pPr>
      <w:r>
        <w:lastRenderedPageBreak/>
        <w:t>OpenAI. n.d. “Supported Countries and Regions.” OpenAI. Accessed March 29, 2025. https://platform.openai.com/docs/supported-countries.</w:t>
      </w:r>
    </w:p>
    <w:p w14:paraId="72A7081A" w14:textId="77777777" w:rsidR="00DB7D67" w:rsidRDefault="00DB7D67" w:rsidP="00DB7D67">
      <w:pPr>
        <w:pStyle w:val="p1"/>
        <w:numPr>
          <w:ilvl w:val="0"/>
          <w:numId w:val="1"/>
        </w:numPr>
        <w:spacing w:line="480" w:lineRule="auto"/>
      </w:pPr>
      <w:r>
        <w:t xml:space="preserve">Patterson, A., M. Frydenberg, and L. Basma. 2024. “Examining Generative Artificial Intelligence Adoption in Academia: A UTAUT Perspective.” </w:t>
      </w:r>
      <w:r>
        <w:rPr>
          <w:i/>
          <w:iCs/>
        </w:rPr>
        <w:t>Issues in Information Systems</w:t>
      </w:r>
      <w:r>
        <w:t xml:space="preserve"> 25 (3).</w:t>
      </w:r>
    </w:p>
    <w:p w14:paraId="0CEEC69C" w14:textId="77777777" w:rsidR="00DB7D67" w:rsidRDefault="00DB7D67" w:rsidP="00DB7D67">
      <w:pPr>
        <w:pStyle w:val="p1"/>
        <w:numPr>
          <w:ilvl w:val="0"/>
          <w:numId w:val="1"/>
        </w:numPr>
        <w:spacing w:line="480" w:lineRule="auto"/>
      </w:pPr>
      <w:proofErr w:type="spellStart"/>
      <w:r>
        <w:t>Ragnedda</w:t>
      </w:r>
      <w:proofErr w:type="spellEnd"/>
      <w:r>
        <w:t xml:space="preserve">, M., and M. </w:t>
      </w:r>
      <w:proofErr w:type="spellStart"/>
      <w:r>
        <w:t>Ragnedda</w:t>
      </w:r>
      <w:proofErr w:type="spellEnd"/>
      <w:r>
        <w:t xml:space="preserve">. 2020. “New Digital Inequalities: Algorithms Divide.” In </w:t>
      </w:r>
      <w:r>
        <w:rPr>
          <w:i/>
          <w:iCs/>
        </w:rPr>
        <w:t>Enhancing Digital Equity: Connecting the Digital Underclass</w:t>
      </w:r>
      <w:r>
        <w:t xml:space="preserve">, edited by M. </w:t>
      </w:r>
      <w:proofErr w:type="spellStart"/>
      <w:r>
        <w:t>Ragnedda</w:t>
      </w:r>
      <w:proofErr w:type="spellEnd"/>
      <w:r>
        <w:t>, 61–83. Palgrave Macmillan.</w:t>
      </w:r>
    </w:p>
    <w:p w14:paraId="3F45F735" w14:textId="77777777" w:rsidR="00DB7D67" w:rsidRDefault="00DB7D67" w:rsidP="00DB7D67">
      <w:pPr>
        <w:pStyle w:val="p1"/>
        <w:numPr>
          <w:ilvl w:val="0"/>
          <w:numId w:val="1"/>
        </w:numPr>
        <w:spacing w:line="480" w:lineRule="auto"/>
      </w:pPr>
      <w:proofErr w:type="spellStart"/>
      <w:r w:rsidRPr="00DB7D67">
        <w:rPr>
          <w:lang w:val="fr-FR"/>
        </w:rPr>
        <w:t>Rasul</w:t>
      </w:r>
      <w:proofErr w:type="spellEnd"/>
      <w:r w:rsidRPr="00DB7D67">
        <w:rPr>
          <w:lang w:val="fr-FR"/>
        </w:rPr>
        <w:t xml:space="preserve">, T., S. Nair, D. </w:t>
      </w:r>
      <w:proofErr w:type="spellStart"/>
      <w:r w:rsidRPr="00DB7D67">
        <w:rPr>
          <w:lang w:val="fr-FR"/>
        </w:rPr>
        <w:t>Kalendra</w:t>
      </w:r>
      <w:proofErr w:type="spellEnd"/>
      <w:r w:rsidRPr="00DB7D67">
        <w:rPr>
          <w:lang w:val="fr-FR"/>
        </w:rPr>
        <w:t xml:space="preserve">, M. Robin, F. de Oliveira Santini, W. J. </w:t>
      </w:r>
      <w:proofErr w:type="spellStart"/>
      <w:r w:rsidRPr="00DB7D67">
        <w:rPr>
          <w:lang w:val="fr-FR"/>
        </w:rPr>
        <w:t>Ladeira</w:t>
      </w:r>
      <w:proofErr w:type="spellEnd"/>
      <w:r w:rsidRPr="00DB7D67">
        <w:rPr>
          <w:lang w:val="fr-FR"/>
        </w:rPr>
        <w:t xml:space="preserve">, and L. </w:t>
      </w:r>
      <w:proofErr w:type="spellStart"/>
      <w:r w:rsidRPr="00DB7D67">
        <w:rPr>
          <w:lang w:val="fr-FR"/>
        </w:rPr>
        <w:t>Heathcote</w:t>
      </w:r>
      <w:proofErr w:type="spellEnd"/>
      <w:r w:rsidRPr="00DB7D67">
        <w:rPr>
          <w:lang w:val="fr-FR"/>
        </w:rPr>
        <w:t xml:space="preserve">. </w:t>
      </w:r>
      <w:r>
        <w:t xml:space="preserve">2023. “The Role of ChatGPT in Higher Education: Benefits, Challenges, and Future Research Directions.” </w:t>
      </w:r>
      <w:r>
        <w:rPr>
          <w:i/>
          <w:iCs/>
        </w:rPr>
        <w:t>Journal of Applied Learning and Teaching</w:t>
      </w:r>
      <w:r>
        <w:t xml:space="preserve"> 6 (1): 41–56.</w:t>
      </w:r>
    </w:p>
    <w:p w14:paraId="7A29905B" w14:textId="77777777" w:rsidR="00DB7D67" w:rsidRDefault="00DB7D67" w:rsidP="00DB7D67">
      <w:pPr>
        <w:pStyle w:val="p1"/>
        <w:numPr>
          <w:ilvl w:val="0"/>
          <w:numId w:val="1"/>
        </w:numPr>
        <w:spacing w:line="480" w:lineRule="auto"/>
      </w:pPr>
      <w:r>
        <w:t xml:space="preserve">Rogers, E. M. 1995. </w:t>
      </w:r>
      <w:r>
        <w:rPr>
          <w:i/>
          <w:iCs/>
        </w:rPr>
        <w:t>Diffusion of Innovations.</w:t>
      </w:r>
      <w:r>
        <w:t xml:space="preserve"> 4th ed. Free Press.</w:t>
      </w:r>
    </w:p>
    <w:p w14:paraId="2793E6AD" w14:textId="77777777" w:rsidR="00DB7D67" w:rsidRDefault="00DB7D67" w:rsidP="00DB7D67">
      <w:pPr>
        <w:pStyle w:val="p1"/>
        <w:numPr>
          <w:ilvl w:val="0"/>
          <w:numId w:val="1"/>
        </w:numPr>
        <w:spacing w:line="480" w:lineRule="auto"/>
      </w:pPr>
      <w:r>
        <w:t xml:space="preserve">Rubin, H. J., and I. S. Rubin. 2011. </w:t>
      </w:r>
      <w:r>
        <w:rPr>
          <w:i/>
          <w:iCs/>
        </w:rPr>
        <w:t>Qualitative Interviewing: The Art of Hearing Data.</w:t>
      </w:r>
      <w:r>
        <w:t xml:space="preserve"> Sage.</w:t>
      </w:r>
    </w:p>
    <w:p w14:paraId="700538D0" w14:textId="77777777" w:rsidR="00DB7D67" w:rsidRDefault="00DB7D67" w:rsidP="00DB7D67">
      <w:pPr>
        <w:pStyle w:val="p1"/>
        <w:numPr>
          <w:ilvl w:val="0"/>
          <w:numId w:val="1"/>
        </w:numPr>
        <w:spacing w:line="480" w:lineRule="auto"/>
      </w:pPr>
      <w:r>
        <w:t xml:space="preserve">Saldaña, J. 2025. </w:t>
      </w:r>
      <w:r>
        <w:rPr>
          <w:i/>
          <w:iCs/>
        </w:rPr>
        <w:t>The Coding Manual for Qualitative Researchers.</w:t>
      </w:r>
      <w:r>
        <w:t xml:space="preserve"> 5th ed. SAGE Publications.</w:t>
      </w:r>
    </w:p>
    <w:p w14:paraId="136165B9" w14:textId="77777777" w:rsidR="00DB7D67" w:rsidRDefault="00DB7D67" w:rsidP="00DB7D67">
      <w:pPr>
        <w:pStyle w:val="p1"/>
        <w:numPr>
          <w:ilvl w:val="0"/>
          <w:numId w:val="1"/>
        </w:numPr>
        <w:spacing w:line="480" w:lineRule="auto"/>
      </w:pPr>
      <w:r>
        <w:t xml:space="preserve">Smith, C. 2025. “ChatGPT Isn’t Available in China, so Should the US Ban DeepSeek?” </w:t>
      </w:r>
      <w:r>
        <w:rPr>
          <w:i/>
          <w:iCs/>
        </w:rPr>
        <w:t>BGR</w:t>
      </w:r>
      <w:r>
        <w:t>, January 28. https://bgr.com/tech/chatgpt-isnt-available-in-china-so-should-the-us-ban-deepseek/.</w:t>
      </w:r>
    </w:p>
    <w:p w14:paraId="1A881BBD" w14:textId="0CD9D47D" w:rsidR="00DB7D67" w:rsidRDefault="00DB7D67" w:rsidP="00DB7D67">
      <w:pPr>
        <w:pStyle w:val="p1"/>
        <w:numPr>
          <w:ilvl w:val="0"/>
          <w:numId w:val="1"/>
        </w:numPr>
        <w:spacing w:line="480" w:lineRule="auto"/>
      </w:pPr>
      <w:r>
        <w:t>Sullivan, M., A. Kelly, and P. McLaughlan. 2023. “ChatGPT in Higher Education: Considerations for Academic Integrity and Student Learning.”</w:t>
      </w:r>
      <w:r w:rsidR="00D738EB" w:rsidRPr="00D738EB">
        <w:rPr>
          <w:rFonts w:ascii="Arial" w:eastAsia="SimSun" w:hAnsi="Arial" w:cs="Arial"/>
          <w:i/>
          <w:iCs/>
          <w:color w:val="222222"/>
          <w:sz w:val="20"/>
          <w:szCs w:val="20"/>
          <w:lang w:val="en"/>
        </w:rPr>
        <w:t xml:space="preserve"> </w:t>
      </w:r>
      <w:r w:rsidR="00D738EB" w:rsidRPr="00D738EB">
        <w:rPr>
          <w:i/>
          <w:iCs/>
          <w:lang w:val="en"/>
        </w:rPr>
        <w:t>Journal of Applied Learning &amp; Teaching</w:t>
      </w:r>
      <w:r w:rsidR="00D738EB" w:rsidRPr="00D738EB">
        <w:rPr>
          <w:lang w:val="en"/>
        </w:rPr>
        <w:t>, </w:t>
      </w:r>
      <w:r w:rsidR="00D738EB" w:rsidRPr="00D738EB">
        <w:rPr>
          <w:i/>
          <w:iCs/>
          <w:lang w:val="en"/>
        </w:rPr>
        <w:t>6</w:t>
      </w:r>
      <w:r w:rsidR="00D738EB" w:rsidRPr="00D738EB">
        <w:rPr>
          <w:lang w:val="en"/>
        </w:rPr>
        <w:t>(1), 31-40</w:t>
      </w:r>
      <w:r w:rsidR="00D738EB">
        <w:rPr>
          <w:lang w:val="en"/>
        </w:rPr>
        <w:t>.</w:t>
      </w:r>
    </w:p>
    <w:p w14:paraId="729CD79B" w14:textId="77777777" w:rsidR="00DB7D67" w:rsidRDefault="00DB7D67" w:rsidP="00DB7D67">
      <w:pPr>
        <w:pStyle w:val="p1"/>
        <w:numPr>
          <w:ilvl w:val="0"/>
          <w:numId w:val="1"/>
        </w:numPr>
        <w:spacing w:line="480" w:lineRule="auto"/>
      </w:pPr>
      <w:r>
        <w:lastRenderedPageBreak/>
        <w:t xml:space="preserve">Sun, Y., Z. Wan, N. Ueda, S. Yahata, F. Cheng, C. Chu, and S. Kurohashi. 2024. “Rapidly Developing High-Quality Instruction Data and Evaluation Benchmark for Large Language Models with Minimal Human Effort: A Case Study on Japanese.” In </w:t>
      </w:r>
      <w:r>
        <w:rPr>
          <w:i/>
          <w:iCs/>
        </w:rPr>
        <w:t>Proceedings of the 2024 Joint International Conference on Computational Linguistics, Language Resources and Evaluation (LREC-COLING 2024)</w:t>
      </w:r>
      <w:r>
        <w:t>, 13537–13547. ELRA and ICCL.</w:t>
      </w:r>
    </w:p>
    <w:p w14:paraId="06084D1F" w14:textId="77777777" w:rsidR="00DB7D67" w:rsidRDefault="00DB7D67" w:rsidP="00DB7D67">
      <w:pPr>
        <w:pStyle w:val="p1"/>
        <w:numPr>
          <w:ilvl w:val="0"/>
          <w:numId w:val="1"/>
        </w:numPr>
        <w:spacing w:line="480" w:lineRule="auto"/>
      </w:pPr>
      <w:proofErr w:type="spellStart"/>
      <w:r>
        <w:t>Suzgun</w:t>
      </w:r>
      <w:proofErr w:type="spellEnd"/>
      <w:r>
        <w:t xml:space="preserve">, M., N. Scales, N. </w:t>
      </w:r>
      <w:proofErr w:type="spellStart"/>
      <w:r>
        <w:t>Schärli</w:t>
      </w:r>
      <w:proofErr w:type="spellEnd"/>
      <w:r>
        <w:t xml:space="preserve">, S. Gehrmann, Y. Tay, H. W. Chung, … and J. Wei. 2022. “Challenging Big-Bench Tasks and Whether Chain-of-Thought Can Solve Them.” </w:t>
      </w:r>
      <w:proofErr w:type="spellStart"/>
      <w:r>
        <w:t>arXiv</w:t>
      </w:r>
      <w:proofErr w:type="spellEnd"/>
      <w:r>
        <w:t xml:space="preserve"> preprint arXiv:2210.09261.</w:t>
      </w:r>
    </w:p>
    <w:p w14:paraId="078362D3" w14:textId="77777777" w:rsidR="00DB7D67" w:rsidRDefault="00DB7D67" w:rsidP="00DB7D67">
      <w:pPr>
        <w:pStyle w:val="p1"/>
        <w:numPr>
          <w:ilvl w:val="0"/>
          <w:numId w:val="1"/>
        </w:numPr>
        <w:spacing w:line="480" w:lineRule="auto"/>
      </w:pPr>
      <w:proofErr w:type="spellStart"/>
      <w:r>
        <w:t>Tacheva</w:t>
      </w:r>
      <w:proofErr w:type="spellEnd"/>
      <w:r>
        <w:t xml:space="preserve">, J., and S. Ramasubramanian. 2023. “AI Empire: Unraveling the Interlocking Systems of Oppression in Generative AI’s Global Order.” </w:t>
      </w:r>
      <w:r>
        <w:rPr>
          <w:i/>
          <w:iCs/>
        </w:rPr>
        <w:t>Big Data &amp; Society</w:t>
      </w:r>
      <w:r>
        <w:t xml:space="preserve"> 10 (2): 20539517231219241.</w:t>
      </w:r>
    </w:p>
    <w:p w14:paraId="5672F3D8" w14:textId="77777777" w:rsidR="00DB7D67" w:rsidRDefault="00DB7D67" w:rsidP="00DB7D67">
      <w:pPr>
        <w:pStyle w:val="p1"/>
        <w:numPr>
          <w:ilvl w:val="0"/>
          <w:numId w:val="1"/>
        </w:numPr>
        <w:spacing w:line="480" w:lineRule="auto"/>
      </w:pPr>
      <w:r>
        <w:t xml:space="preserve">Taylor, S., and P. Todd. 1995. “Assessing IT Usage: The Role of Prior Experience.” </w:t>
      </w:r>
      <w:r>
        <w:rPr>
          <w:i/>
          <w:iCs/>
        </w:rPr>
        <w:t>MIS Quarterly</w:t>
      </w:r>
      <w:r>
        <w:t xml:space="preserve"> 19 (4): 561–570. https://doi.org/10.2307/249633.</w:t>
      </w:r>
    </w:p>
    <w:p w14:paraId="13019258" w14:textId="77777777" w:rsidR="00DB7D67" w:rsidRDefault="00DB7D67" w:rsidP="00DB7D67">
      <w:pPr>
        <w:pStyle w:val="p1"/>
        <w:numPr>
          <w:ilvl w:val="0"/>
          <w:numId w:val="1"/>
        </w:numPr>
        <w:spacing w:line="480" w:lineRule="auto"/>
      </w:pPr>
      <w:proofErr w:type="spellStart"/>
      <w:r>
        <w:t>Triandis</w:t>
      </w:r>
      <w:proofErr w:type="spellEnd"/>
      <w:r>
        <w:t xml:space="preserve">, H. C. 1977. </w:t>
      </w:r>
      <w:r>
        <w:rPr>
          <w:i/>
          <w:iCs/>
        </w:rPr>
        <w:t>Interpersonal Behavior.</w:t>
      </w:r>
      <w:r>
        <w:t xml:space="preserve"> Brooks/Cole.</w:t>
      </w:r>
    </w:p>
    <w:p w14:paraId="3E57EA86" w14:textId="77777777" w:rsidR="00DB7D67" w:rsidRDefault="00DB7D67" w:rsidP="00DB7D67">
      <w:pPr>
        <w:pStyle w:val="p1"/>
        <w:numPr>
          <w:ilvl w:val="0"/>
          <w:numId w:val="1"/>
        </w:numPr>
        <w:spacing w:line="480" w:lineRule="auto"/>
      </w:pPr>
      <w:r>
        <w:t xml:space="preserve">Udeh, C. G. 2025. “The Role of Generative AI in Personalized Learning for Higher Education.” </w:t>
      </w:r>
      <w:r>
        <w:rPr>
          <w:i/>
          <w:iCs/>
        </w:rPr>
        <w:t>World Journal of Advanced Engineering Technology and Sciences</w:t>
      </w:r>
      <w:r>
        <w:t xml:space="preserve"> 14 (2): 205–207. https://doi.org/10.30574/wjaets.2025.14.2.0077.</w:t>
      </w:r>
    </w:p>
    <w:p w14:paraId="4DCCE521" w14:textId="77777777" w:rsidR="00DB7D67" w:rsidRDefault="00DB7D67" w:rsidP="00DB7D67">
      <w:pPr>
        <w:pStyle w:val="p1"/>
        <w:numPr>
          <w:ilvl w:val="0"/>
          <w:numId w:val="1"/>
        </w:numPr>
        <w:spacing w:line="480" w:lineRule="auto"/>
      </w:pPr>
      <w:proofErr w:type="spellStart"/>
      <w:r>
        <w:t>Ursavaş</w:t>
      </w:r>
      <w:proofErr w:type="spellEnd"/>
      <w:r>
        <w:t xml:space="preserve">, Ö. F. 2022. “Unified Theory of Acceptance and Use of Technology Model (UTAUT).” In </w:t>
      </w:r>
      <w:r>
        <w:rPr>
          <w:i/>
          <w:iCs/>
        </w:rPr>
        <w:t>Conducting Technology Acceptance Research in Education</w:t>
      </w:r>
      <w:r>
        <w:t>, 111–133. Springer International Publishing AG. https://doi.org/10.1007/978-3-031-10846-4_6.</w:t>
      </w:r>
    </w:p>
    <w:p w14:paraId="487F03A5" w14:textId="77777777" w:rsidR="00DB7D67" w:rsidRDefault="00DB7D67" w:rsidP="00DB7D67">
      <w:pPr>
        <w:pStyle w:val="p1"/>
        <w:numPr>
          <w:ilvl w:val="0"/>
          <w:numId w:val="1"/>
        </w:numPr>
        <w:spacing w:line="480" w:lineRule="auto"/>
      </w:pPr>
      <w:r>
        <w:lastRenderedPageBreak/>
        <w:t xml:space="preserve">Vallerand, R. J., and M. Zanna. 1997. “Toward A Hierarchical Model of Intrinsic and Extrinsic Motivation.” </w:t>
      </w:r>
      <w:r>
        <w:rPr>
          <w:i/>
          <w:iCs/>
        </w:rPr>
        <w:t>Advances in Experimental Social Psychology</w:t>
      </w:r>
      <w:r>
        <w:t xml:space="preserve"> 29 (C): 271–360. https://doi.org/10.1016/S0065-2601(08)60019-2.</w:t>
      </w:r>
    </w:p>
    <w:p w14:paraId="4BBBB6EB" w14:textId="77777777" w:rsidR="00DB7D67" w:rsidRDefault="00DB7D67" w:rsidP="00DB7D67">
      <w:pPr>
        <w:pStyle w:val="p1"/>
        <w:numPr>
          <w:ilvl w:val="0"/>
          <w:numId w:val="1"/>
        </w:numPr>
        <w:spacing w:line="480" w:lineRule="auto"/>
      </w:pPr>
      <w:r>
        <w:t xml:space="preserve">Venkatesh, V., M. G. Morris, G. B. Davis, and F. D. Davis. 2003. “User Acceptance of Information Technology: Toward a Unified View.” </w:t>
      </w:r>
      <w:r>
        <w:rPr>
          <w:i/>
          <w:iCs/>
        </w:rPr>
        <w:t>MIS Quarterly</w:t>
      </w:r>
      <w:r>
        <w:t xml:space="preserve"> 27 (3): 425–478. https://doi.org/10.2307/30036540.</w:t>
      </w:r>
    </w:p>
    <w:p w14:paraId="7B653760" w14:textId="77777777" w:rsidR="00DB7D67" w:rsidRDefault="00DB7D67" w:rsidP="00DB7D67">
      <w:pPr>
        <w:pStyle w:val="p1"/>
        <w:numPr>
          <w:ilvl w:val="0"/>
          <w:numId w:val="1"/>
        </w:numPr>
        <w:spacing w:line="480" w:lineRule="auto"/>
      </w:pPr>
      <w:r>
        <w:t xml:space="preserve">Venkatesh, V., J. Y. L. Thong, and X. Xu. 2012. “Consumer Acceptance and Use of Information Technology: Extending the Unified Theory of Acceptance and Use of Technology.” </w:t>
      </w:r>
      <w:r>
        <w:rPr>
          <w:i/>
          <w:iCs/>
        </w:rPr>
        <w:t>MIS Quarterly</w:t>
      </w:r>
      <w:r>
        <w:t xml:space="preserve"> 36 (1): 157–178. https://doi.org/10.2307/41410412.</w:t>
      </w:r>
    </w:p>
    <w:p w14:paraId="750A4E31" w14:textId="77777777" w:rsidR="00DB7D67" w:rsidRDefault="00DB7D67" w:rsidP="00DB7D67">
      <w:pPr>
        <w:pStyle w:val="p1"/>
        <w:numPr>
          <w:ilvl w:val="0"/>
          <w:numId w:val="1"/>
        </w:numPr>
        <w:spacing w:line="480" w:lineRule="auto"/>
      </w:pPr>
      <w:r>
        <w:t xml:space="preserve">Vidal, Q., S. Vincent-Lancrin, and H. Yun. 2023. “Emerging Governance of Generative AI in Education.” In </w:t>
      </w:r>
      <w:r>
        <w:rPr>
          <w:i/>
          <w:iCs/>
        </w:rPr>
        <w:t>OECD Digital Education Outlook 2023: Towards an Effective Digital Education Ecosystem.</w:t>
      </w:r>
      <w:r>
        <w:t xml:space="preserve"> OECD Publishing. https://doi.org/10.1787/2a73a245-en.</w:t>
      </w:r>
    </w:p>
    <w:p w14:paraId="2766926E" w14:textId="77777777" w:rsidR="00DB7D67" w:rsidRDefault="00DB7D67" w:rsidP="00DB7D67">
      <w:pPr>
        <w:pStyle w:val="p1"/>
        <w:numPr>
          <w:ilvl w:val="0"/>
          <w:numId w:val="1"/>
        </w:numPr>
        <w:spacing w:line="480" w:lineRule="auto"/>
      </w:pPr>
      <w:r>
        <w:t xml:space="preserve">Wang, H., A. Dang, Z. Wu, and S. Mac. 2024. “Generative AI in Higher Education: Seeing ChatGPT through Universities’ Policies, Resources, and Guidelines.” </w:t>
      </w:r>
      <w:r>
        <w:rPr>
          <w:i/>
          <w:iCs/>
        </w:rPr>
        <w:t>Computers and Education: Artificial Intelligence</w:t>
      </w:r>
      <w:r>
        <w:t xml:space="preserve"> 5: 100326. https://doi.org/10.1016/j.caeai.2024.100326.</w:t>
      </w:r>
    </w:p>
    <w:p w14:paraId="250C5DB4" w14:textId="77777777" w:rsidR="00DB7D67" w:rsidRDefault="00DB7D67" w:rsidP="00DB7D67">
      <w:pPr>
        <w:pStyle w:val="p1"/>
        <w:numPr>
          <w:ilvl w:val="0"/>
          <w:numId w:val="1"/>
        </w:numPr>
        <w:spacing w:line="480" w:lineRule="auto"/>
      </w:pPr>
      <w:r>
        <w:t xml:space="preserve">Wang, X. 2024. “Exploration and Practice of Integrating the Thought on Socialism with Chinese Characteristics for a New Era into the Teaching of Macroeconomics.” </w:t>
      </w:r>
      <w:r>
        <w:rPr>
          <w:i/>
          <w:iCs/>
        </w:rPr>
        <w:t>Transactions on Comparative Education</w:t>
      </w:r>
      <w:r>
        <w:t xml:space="preserve"> 6 (3): 181–187.</w:t>
      </w:r>
    </w:p>
    <w:p w14:paraId="667390C3" w14:textId="77777777" w:rsidR="00DB7D67" w:rsidRDefault="00DB7D67" w:rsidP="00DB7D67">
      <w:pPr>
        <w:pStyle w:val="p1"/>
        <w:numPr>
          <w:ilvl w:val="0"/>
          <w:numId w:val="1"/>
        </w:numPr>
        <w:spacing w:line="480" w:lineRule="auto"/>
      </w:pPr>
      <w:r>
        <w:t xml:space="preserve">Warren, C. A. 2002. “Qualitative Interviewing.” In </w:t>
      </w:r>
      <w:r>
        <w:rPr>
          <w:i/>
          <w:iCs/>
        </w:rPr>
        <w:t>Handbook of Interview Research: Context and Method</w:t>
      </w:r>
      <w:r>
        <w:t>, 103–116.</w:t>
      </w:r>
    </w:p>
    <w:p w14:paraId="7A8588E4" w14:textId="77777777" w:rsidR="00DB7D67" w:rsidRDefault="00DB7D67" w:rsidP="00DB7D67">
      <w:pPr>
        <w:pStyle w:val="p1"/>
        <w:numPr>
          <w:ilvl w:val="0"/>
          <w:numId w:val="1"/>
        </w:numPr>
        <w:spacing w:line="480" w:lineRule="auto"/>
      </w:pPr>
      <w:r>
        <w:lastRenderedPageBreak/>
        <w:t xml:space="preserve">Xia, Y., and Y. Chen. 2024. “Driving Factors of Generative AI Adoption in New Product Development Teams from a UTAUT Perspective.” </w:t>
      </w:r>
      <w:r>
        <w:rPr>
          <w:i/>
          <w:iCs/>
        </w:rPr>
        <w:t>International Journal of Human-Computer Interaction</w:t>
      </w:r>
      <w:r>
        <w:t>: 1–22. https://doi.org/10.1080/10447318.2024.2375686.</w:t>
      </w:r>
    </w:p>
    <w:p w14:paraId="6FE17CED" w14:textId="77777777" w:rsidR="00DB7D67" w:rsidRDefault="00DB7D67" w:rsidP="00DB7D67">
      <w:pPr>
        <w:pStyle w:val="p1"/>
        <w:numPr>
          <w:ilvl w:val="0"/>
          <w:numId w:val="1"/>
        </w:numPr>
        <w:spacing w:line="480" w:lineRule="auto"/>
      </w:pPr>
      <w:r>
        <w:t xml:space="preserve">Xie, Q., M. Li, and A. </w:t>
      </w:r>
      <w:proofErr w:type="spellStart"/>
      <w:r>
        <w:t>Enkhtur</w:t>
      </w:r>
      <w:proofErr w:type="spellEnd"/>
      <w:r>
        <w:t xml:space="preserve">. 2024. “Exploring Generative AI Policies in Higher Education: A Comparative Perspective from China, Japan, Mongolia, and the USA.” </w:t>
      </w:r>
      <w:proofErr w:type="spellStart"/>
      <w:r>
        <w:t>arXiv</w:t>
      </w:r>
      <w:proofErr w:type="spellEnd"/>
      <w:r>
        <w:t xml:space="preserve"> preprint arXiv:2407.08986.</w:t>
      </w:r>
    </w:p>
    <w:p w14:paraId="388271BB" w14:textId="77777777" w:rsidR="00DB7D67" w:rsidRDefault="00DB7D67" w:rsidP="00DB7D67">
      <w:pPr>
        <w:pStyle w:val="p1"/>
        <w:numPr>
          <w:ilvl w:val="0"/>
          <w:numId w:val="1"/>
        </w:numPr>
        <w:spacing w:line="480" w:lineRule="auto"/>
      </w:pPr>
      <w:r>
        <w:t xml:space="preserve">Xie, Q. 2024. “Open AI-Romance with ChatGPT, Ready for Your Cyborg Lover?” </w:t>
      </w:r>
      <w:proofErr w:type="spellStart"/>
      <w:r>
        <w:t>arXiv</w:t>
      </w:r>
      <w:proofErr w:type="spellEnd"/>
      <w:r>
        <w:t xml:space="preserve"> preprint arXiv:2410.03710.</w:t>
      </w:r>
    </w:p>
    <w:p w14:paraId="7F51E07B" w14:textId="77777777" w:rsidR="00DB7D67" w:rsidRDefault="00DB7D67" w:rsidP="00DB7D67">
      <w:pPr>
        <w:pStyle w:val="p1"/>
        <w:numPr>
          <w:ilvl w:val="0"/>
          <w:numId w:val="1"/>
        </w:numPr>
        <w:spacing w:line="480" w:lineRule="auto"/>
      </w:pPr>
      <w:r>
        <w:t xml:space="preserve">Yusuf, A., N. Pervin, and M. Román-González. 2024. “Generative AI and the Future of Higher Education: A Threat to Academic Integrity or Reformation? Evidence from Multicultural Perspectives.” </w:t>
      </w:r>
      <w:r>
        <w:rPr>
          <w:i/>
          <w:iCs/>
        </w:rPr>
        <w:t>International Journal of Educational Technology in Higher Education</w:t>
      </w:r>
      <w:r>
        <w:t xml:space="preserve"> 21 (1): 21.</w:t>
      </w:r>
    </w:p>
    <w:p w14:paraId="031DCED1" w14:textId="77777777" w:rsidR="00DB7D67" w:rsidRDefault="00DB7D67" w:rsidP="00DB7D67">
      <w:pPr>
        <w:pStyle w:val="p1"/>
        <w:numPr>
          <w:ilvl w:val="0"/>
          <w:numId w:val="1"/>
        </w:numPr>
        <w:spacing w:line="480" w:lineRule="auto"/>
      </w:pPr>
      <w:r>
        <w:t xml:space="preserve">Zaim, M., S. Arsyad, B. Waluyo, H. Ardi, M. Al Hafizh, M. Zakiyah, … and M. Hardiah. 2024. “AI-Powered EFL Pedagogy: Integrating Generative AI into University Teaching Preparation through UTAUT and Activity Theory.” </w:t>
      </w:r>
      <w:r>
        <w:rPr>
          <w:i/>
          <w:iCs/>
        </w:rPr>
        <w:t>Computers and Education: Artificial Intelligence</w:t>
      </w:r>
      <w:r>
        <w:t xml:space="preserve"> 7: 100335.</w:t>
      </w:r>
    </w:p>
    <w:p w14:paraId="2993CC45" w14:textId="77777777" w:rsidR="00DB7D67" w:rsidRDefault="00DB7D67" w:rsidP="00DB7D67">
      <w:pPr>
        <w:pStyle w:val="p1"/>
        <w:numPr>
          <w:ilvl w:val="0"/>
          <w:numId w:val="1"/>
        </w:numPr>
        <w:spacing w:line="480" w:lineRule="auto"/>
      </w:pPr>
      <w:r>
        <w:t xml:space="preserve">Zhang, X., D. Li, C. Wang, Z. Jiang, A. I. Ngao, D. Liu, M. A. Peters, and H. Tian. 2023. “From ChatGPT to China’ Sci-Tech: Implications for Chinese Higher Education.” </w:t>
      </w:r>
      <w:r>
        <w:rPr>
          <w:i/>
          <w:iCs/>
        </w:rPr>
        <w:t>Beijing International Review of Education</w:t>
      </w:r>
      <w:r>
        <w:t xml:space="preserve"> 5 (3): 296–314. https://doi.org/10.1163/25902539-05030007.</w:t>
      </w:r>
    </w:p>
    <w:p w14:paraId="26102A38" w14:textId="77777777" w:rsidR="00DB7D67" w:rsidRDefault="00DB7D67" w:rsidP="00DB7D67">
      <w:pPr>
        <w:pStyle w:val="p1"/>
        <w:numPr>
          <w:ilvl w:val="0"/>
          <w:numId w:val="1"/>
        </w:numPr>
        <w:spacing w:line="480" w:lineRule="auto"/>
      </w:pPr>
      <w:r>
        <w:t xml:space="preserve">Zhang, X., and T. </w:t>
      </w:r>
      <w:proofErr w:type="spellStart"/>
      <w:r>
        <w:t>Wareewanich</w:t>
      </w:r>
      <w:proofErr w:type="spellEnd"/>
      <w:r>
        <w:t xml:space="preserve">. 2024. “A Study of the Factors Influencing Teachers’ Willingness to Use Generative Artificial Intelligence Based on the UTAUT Model.” </w:t>
      </w:r>
      <w:r>
        <w:rPr>
          <w:i/>
          <w:iCs/>
        </w:rPr>
        <w:t>International Journal of Interactive Mobile Technologies</w:t>
      </w:r>
      <w:r>
        <w:t xml:space="preserve"> 18 (6).</w:t>
      </w:r>
    </w:p>
    <w:p w14:paraId="553064D5" w14:textId="77777777" w:rsidR="00DB7D67" w:rsidRDefault="00DB7D67" w:rsidP="00DB7D67">
      <w:pPr>
        <w:pStyle w:val="p1"/>
        <w:numPr>
          <w:ilvl w:val="0"/>
          <w:numId w:val="1"/>
        </w:numPr>
        <w:spacing w:line="480" w:lineRule="auto"/>
      </w:pPr>
      <w:r>
        <w:lastRenderedPageBreak/>
        <w:t xml:space="preserve">Zhang, Y. 2024. “Evaluation on the Interaction between Chinese Traditional Philosophical Culture and Higher Education Ideas.” </w:t>
      </w:r>
      <w:r>
        <w:rPr>
          <w:i/>
          <w:iCs/>
        </w:rPr>
        <w:t>Trans/Form/</w:t>
      </w:r>
      <w:proofErr w:type="spellStart"/>
      <w:r>
        <w:rPr>
          <w:i/>
          <w:iCs/>
        </w:rPr>
        <w:t>Ação</w:t>
      </w:r>
      <w:proofErr w:type="spellEnd"/>
      <w:r>
        <w:t xml:space="preserve"> 47: e0240055.</w:t>
      </w:r>
    </w:p>
    <w:p w14:paraId="0C1AA85E" w14:textId="1A684024" w:rsidR="00EE7ADA" w:rsidRDefault="00EE7ADA" w:rsidP="00EE7ADA">
      <w:pPr>
        <w:pStyle w:val="p1"/>
        <w:numPr>
          <w:ilvl w:val="0"/>
          <w:numId w:val="1"/>
        </w:numPr>
        <w:spacing w:line="480" w:lineRule="auto"/>
      </w:pPr>
      <w:r>
        <w:t xml:space="preserve">Zhang, Z., X. Han, H. Zhou, P. Ke, Y. Gu, D. Ye, … and M. Sun. 2021. “CPM: A Large-Scale Generative Chinese Pre-Trained Language Model.” </w:t>
      </w:r>
      <w:r>
        <w:rPr>
          <w:i/>
          <w:iCs/>
        </w:rPr>
        <w:t>AI Open</w:t>
      </w:r>
      <w:r>
        <w:t xml:space="preserve"> 2: 93–99.</w:t>
      </w:r>
    </w:p>
    <w:p w14:paraId="3C992BF3" w14:textId="77777777" w:rsidR="00DB7D67" w:rsidRDefault="00DB7D67" w:rsidP="00DB7D67">
      <w:pPr>
        <w:pStyle w:val="p1"/>
        <w:numPr>
          <w:ilvl w:val="0"/>
          <w:numId w:val="1"/>
        </w:numPr>
        <w:spacing w:line="480" w:lineRule="auto"/>
      </w:pPr>
      <w:r>
        <w:t xml:space="preserve">Zhong, C., F. Cheng, Q. Liu, J. Jiang, Z. Wan, C. Chu, … and S. Kurohashi. 2024. “Beyond English-Centric LLMs: What Language Do Multilingual Language Models Think In?” </w:t>
      </w:r>
      <w:proofErr w:type="spellStart"/>
      <w:r>
        <w:t>arXiv</w:t>
      </w:r>
      <w:proofErr w:type="spellEnd"/>
      <w:r>
        <w:t xml:space="preserve"> preprint arXiv:2408.10811.</w:t>
      </w:r>
    </w:p>
    <w:p w14:paraId="5B37EAAF" w14:textId="77777777" w:rsidR="00DB7D67" w:rsidRDefault="00DB7D67" w:rsidP="00DB7D67">
      <w:pPr>
        <w:pStyle w:val="p1"/>
        <w:numPr>
          <w:ilvl w:val="0"/>
          <w:numId w:val="1"/>
        </w:numPr>
        <w:spacing w:line="480" w:lineRule="auto"/>
      </w:pPr>
      <w:r>
        <w:t xml:space="preserve">Zhong, C., F. Cheng, Q. Liu, Y. </w:t>
      </w:r>
      <w:proofErr w:type="spellStart"/>
      <w:r>
        <w:t>Murawaki</w:t>
      </w:r>
      <w:proofErr w:type="spellEnd"/>
      <w:r>
        <w:t xml:space="preserve">, C. Chu, and S. Kurohashi. 2025. “Language Lives in Sparse Dimensions: Toward Interpretable and Efficient Multilingual Control for Large Language Models.” </w:t>
      </w:r>
      <w:proofErr w:type="spellStart"/>
      <w:r>
        <w:t>arXiv</w:t>
      </w:r>
      <w:proofErr w:type="spellEnd"/>
      <w:r>
        <w:t xml:space="preserve"> preprint arXiv:2510.07213.</w:t>
      </w:r>
    </w:p>
    <w:p w14:paraId="0B331A83" w14:textId="77777777" w:rsidR="00DB7D67" w:rsidRDefault="00DB7D67" w:rsidP="00DB7D67">
      <w:pPr>
        <w:pStyle w:val="p1"/>
        <w:numPr>
          <w:ilvl w:val="0"/>
          <w:numId w:val="1"/>
        </w:numPr>
        <w:spacing w:line="480" w:lineRule="auto"/>
      </w:pPr>
      <w:r>
        <w:t xml:space="preserve">Zhu, X., and J. Li. 2018. “Conceptualizing the Ontology of Higher Education with Chinese Characteristics.” </w:t>
      </w:r>
      <w:r>
        <w:rPr>
          <w:i/>
          <w:iCs/>
        </w:rPr>
        <w:t>Educational Philosophy and Theory</w:t>
      </w:r>
      <w:r>
        <w:t xml:space="preserve"> 50 (12): 1144–1156.</w:t>
      </w:r>
    </w:p>
    <w:p w14:paraId="2E89BFAB" w14:textId="77777777" w:rsidR="00DB7D67" w:rsidRDefault="00DB7D67" w:rsidP="00DB7D67">
      <w:pPr>
        <w:pStyle w:val="p1"/>
        <w:numPr>
          <w:ilvl w:val="0"/>
          <w:numId w:val="1"/>
        </w:numPr>
        <w:spacing w:line="480" w:lineRule="auto"/>
      </w:pPr>
      <w:r>
        <w:t xml:space="preserve">Zou, W., and Z. Liu. 2024. “Unraveling Public Conspiracy Theories Toward ChatGPT in China: A Critical Discourse Analysis of Weibo Posts.” </w:t>
      </w:r>
      <w:r>
        <w:rPr>
          <w:i/>
          <w:iCs/>
        </w:rPr>
        <w:t>Journal of Broadcasting &amp; Electronic Media</w:t>
      </w:r>
      <w:r>
        <w:t xml:space="preserve"> 68 (1): 1–20.</w:t>
      </w:r>
    </w:p>
    <w:p w14:paraId="758AC475" w14:textId="77777777" w:rsidR="00932484" w:rsidRPr="00AF30A8" w:rsidRDefault="00932484" w:rsidP="00DB7D67">
      <w:pPr>
        <w:spacing w:line="480" w:lineRule="auto"/>
        <w:rPr>
          <w:rFonts w:ascii="Times New Roman" w:eastAsia="Times New Roman" w:hAnsi="Times New Roman" w:cs="Times New Roman"/>
          <w:b/>
          <w:i/>
          <w:color w:val="000000" w:themeColor="text1"/>
        </w:rPr>
      </w:pPr>
    </w:p>
    <w:sectPr w:rsidR="00932484" w:rsidRPr="00AF30A8">
      <w:headerReference w:type="even" r:id="rId12"/>
      <w:head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48FDC" w14:textId="77777777" w:rsidR="001F217E" w:rsidRDefault="001F217E">
      <w:pPr>
        <w:spacing w:after="0" w:line="240" w:lineRule="auto"/>
      </w:pPr>
      <w:r>
        <w:separator/>
      </w:r>
    </w:p>
  </w:endnote>
  <w:endnote w:type="continuationSeparator" w:id="0">
    <w:p w14:paraId="21925987" w14:textId="77777777" w:rsidR="001F217E" w:rsidRDefault="001F2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ngsuh">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37D61" w14:textId="77777777" w:rsidR="001F217E" w:rsidRDefault="001F217E">
      <w:pPr>
        <w:spacing w:after="0" w:line="240" w:lineRule="auto"/>
      </w:pPr>
      <w:r>
        <w:separator/>
      </w:r>
    </w:p>
  </w:footnote>
  <w:footnote w:type="continuationSeparator" w:id="0">
    <w:p w14:paraId="4684DC54" w14:textId="77777777" w:rsidR="001F217E" w:rsidRDefault="001F21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BA286" w14:textId="77777777" w:rsidR="00932484" w:rsidRDefault="00000000">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4906D2A3" w14:textId="77777777" w:rsidR="00932484" w:rsidRDefault="00932484">
    <w:pPr>
      <w:pBdr>
        <w:top w:val="nil"/>
        <w:left w:val="nil"/>
        <w:bottom w:val="nil"/>
        <w:right w:val="nil"/>
        <w:between w:val="nil"/>
      </w:pBdr>
      <w:tabs>
        <w:tab w:val="center" w:pos="4680"/>
        <w:tab w:val="right" w:pos="9360"/>
      </w:tabs>
      <w:spacing w:after="0" w:line="240" w:lineRule="auto"/>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B1A0" w14:textId="77777777" w:rsidR="00932484" w:rsidRDefault="00000000">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7338A">
      <w:rPr>
        <w:noProof/>
        <w:color w:val="000000"/>
      </w:rPr>
      <w:t>1</w:t>
    </w:r>
    <w:r>
      <w:rPr>
        <w:color w:val="000000"/>
      </w:rPr>
      <w:fldChar w:fldCharType="end"/>
    </w:r>
  </w:p>
  <w:p w14:paraId="25300CBC" w14:textId="77777777" w:rsidR="00932484" w:rsidRDefault="00932484">
    <w:pPr>
      <w:pBdr>
        <w:top w:val="nil"/>
        <w:left w:val="nil"/>
        <w:bottom w:val="nil"/>
        <w:right w:val="nil"/>
        <w:between w:val="nil"/>
      </w:pBdr>
      <w:tabs>
        <w:tab w:val="center" w:pos="4680"/>
        <w:tab w:val="right" w:pos="9360"/>
      </w:tabs>
      <w:spacing w:after="0" w:line="240" w:lineRule="auto"/>
      <w:ind w:right="36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C5D1D"/>
    <w:multiLevelType w:val="multilevel"/>
    <w:tmpl w:val="DE3AD466"/>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D34701D"/>
    <w:multiLevelType w:val="multilevel"/>
    <w:tmpl w:val="C2048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FD1938"/>
    <w:multiLevelType w:val="multilevel"/>
    <w:tmpl w:val="5E4E362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486256">
    <w:abstractNumId w:val="1"/>
  </w:num>
  <w:num w:numId="2" w16cid:durableId="950554504">
    <w:abstractNumId w:val="2"/>
  </w:num>
  <w:num w:numId="3" w16cid:durableId="1992175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484"/>
    <w:rsid w:val="000859D2"/>
    <w:rsid w:val="00094D40"/>
    <w:rsid w:val="00140699"/>
    <w:rsid w:val="001D0E70"/>
    <w:rsid w:val="001F217E"/>
    <w:rsid w:val="00537B9C"/>
    <w:rsid w:val="00554869"/>
    <w:rsid w:val="005E5A5B"/>
    <w:rsid w:val="006A149E"/>
    <w:rsid w:val="006C31FA"/>
    <w:rsid w:val="006F73BC"/>
    <w:rsid w:val="00760DE3"/>
    <w:rsid w:val="007812EE"/>
    <w:rsid w:val="008653FA"/>
    <w:rsid w:val="008A677C"/>
    <w:rsid w:val="008C4B0F"/>
    <w:rsid w:val="00902C62"/>
    <w:rsid w:val="009263B7"/>
    <w:rsid w:val="00932484"/>
    <w:rsid w:val="00942460"/>
    <w:rsid w:val="009864BC"/>
    <w:rsid w:val="00A7338A"/>
    <w:rsid w:val="00A92F3F"/>
    <w:rsid w:val="00AF30A8"/>
    <w:rsid w:val="00B64D0F"/>
    <w:rsid w:val="00C86FDB"/>
    <w:rsid w:val="00CD5EB8"/>
    <w:rsid w:val="00CF7596"/>
    <w:rsid w:val="00D738EB"/>
    <w:rsid w:val="00DB7D67"/>
    <w:rsid w:val="00DC5618"/>
    <w:rsid w:val="00DF58C6"/>
    <w:rsid w:val="00EB0C22"/>
    <w:rsid w:val="00EE7ADA"/>
    <w:rsid w:val="00F2188D"/>
    <w:rsid w:val="00F40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E9F73B9"/>
  <w15:docId w15:val="{2B6BF195-6A93-1F4D-85FF-965E41DA4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sz w:val="24"/>
        <w:szCs w:val="24"/>
        <w:lang w:val="en"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i/>
      <w:color w:val="2F5496"/>
    </w:rPr>
  </w:style>
  <w:style w:type="paragraph" w:styleId="Heading5">
    <w:name w:val="heading 5"/>
    <w:basedOn w:val="Normal"/>
    <w:next w:val="Normal"/>
    <w:uiPriority w:val="9"/>
    <w:semiHidden/>
    <w:unhideWhenUsed/>
    <w:qFormat/>
    <w:pPr>
      <w:keepNext/>
      <w:keepLines/>
      <w:spacing w:before="80" w:after="40"/>
      <w:outlineLvl w:val="4"/>
    </w:pPr>
    <w:rPr>
      <w:color w:val="2F5496"/>
    </w:rPr>
  </w:style>
  <w:style w:type="paragraph" w:styleId="Heading6">
    <w:name w:val="heading 6"/>
    <w:basedOn w:val="Normal"/>
    <w:next w:val="Normal"/>
    <w:uiPriority w:val="9"/>
    <w:semiHidden/>
    <w:unhideWhenUsed/>
    <w:qFormat/>
    <w:pPr>
      <w:keepNext/>
      <w:keepLines/>
      <w:spacing w:before="40" w:after="0"/>
      <w:outlineLvl w:val="5"/>
    </w:pPr>
    <w:rPr>
      <w:i/>
      <w:color w:val="595959"/>
    </w:rPr>
  </w:style>
  <w:style w:type="paragraph" w:styleId="Heading7">
    <w:name w:val="heading 7"/>
    <w:link w:val="Heading7Char"/>
    <w:uiPriority w:val="9"/>
    <w:semiHidden/>
    <w:unhideWhenUsed/>
    <w:qFormat/>
    <w:rsid w:val="00675E3D"/>
    <w:pPr>
      <w:keepNext/>
      <w:keepLines/>
      <w:spacing w:before="40" w:after="0"/>
      <w:outlineLvl w:val="6"/>
    </w:pPr>
    <w:rPr>
      <w:rFonts w:eastAsiaTheme="majorEastAsia" w:cstheme="majorBidi"/>
      <w:color w:val="595959" w:themeColor="text1" w:themeTint="A6"/>
    </w:rPr>
  </w:style>
  <w:style w:type="paragraph" w:styleId="Heading8">
    <w:name w:val="heading 8"/>
    <w:link w:val="Heading8Char"/>
    <w:uiPriority w:val="9"/>
    <w:semiHidden/>
    <w:unhideWhenUsed/>
    <w:qFormat/>
    <w:rsid w:val="00675E3D"/>
    <w:pPr>
      <w:keepNext/>
      <w:keepLines/>
      <w:spacing w:after="0"/>
      <w:outlineLvl w:val="7"/>
    </w:pPr>
    <w:rPr>
      <w:rFonts w:eastAsiaTheme="majorEastAsia" w:cstheme="majorBidi"/>
      <w:i/>
      <w:iCs/>
      <w:color w:val="272727" w:themeColor="text1" w:themeTint="D8"/>
    </w:rPr>
  </w:style>
  <w:style w:type="paragraph" w:styleId="Heading9">
    <w:name w:val="heading 9"/>
    <w:link w:val="Heading9Char"/>
    <w:uiPriority w:val="9"/>
    <w:semiHidden/>
    <w:unhideWhenUsed/>
    <w:qFormat/>
    <w:rsid w:val="00675E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sz w:val="56"/>
      <w:szCs w:val="56"/>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table" w:customStyle="1" w:styleId="TableNormal3">
    <w:name w:val="TableNormal"/>
    <w:tblPr>
      <w:tblCellMar>
        <w:top w:w="100" w:type="dxa"/>
        <w:left w:w="100" w:type="dxa"/>
        <w:bottom w:w="100" w:type="dxa"/>
        <w:right w:w="100" w:type="dxa"/>
      </w:tblCellMar>
    </w:tblPr>
  </w:style>
  <w:style w:type="character" w:customStyle="1" w:styleId="1">
    <w:name w:val="見出し 1 (文字)"/>
    <w:basedOn w:val="DefaultParagraphFont"/>
    <w:uiPriority w:val="9"/>
    <w:rsid w:val="00675E3D"/>
    <w:rPr>
      <w:rFonts w:asciiTheme="majorHAnsi" w:eastAsiaTheme="majorEastAsia" w:hAnsiTheme="majorHAnsi" w:cstheme="majorBidi"/>
      <w:color w:val="2F5496" w:themeColor="accent1" w:themeShade="BF"/>
      <w:sz w:val="40"/>
      <w:szCs w:val="40"/>
    </w:rPr>
  </w:style>
  <w:style w:type="character" w:customStyle="1" w:styleId="2">
    <w:name w:val="見出し 2 (文字)"/>
    <w:basedOn w:val="DefaultParagraphFont"/>
    <w:uiPriority w:val="9"/>
    <w:rsid w:val="00675E3D"/>
    <w:rPr>
      <w:rFonts w:asciiTheme="majorHAnsi" w:eastAsiaTheme="majorEastAsia" w:hAnsiTheme="majorHAnsi" w:cstheme="majorBidi"/>
      <w:color w:val="2F5496" w:themeColor="accent1" w:themeShade="BF"/>
      <w:sz w:val="32"/>
      <w:szCs w:val="32"/>
    </w:rPr>
  </w:style>
  <w:style w:type="character" w:customStyle="1" w:styleId="3">
    <w:name w:val="見出し 3 (文字)"/>
    <w:basedOn w:val="DefaultParagraphFont"/>
    <w:uiPriority w:val="9"/>
    <w:rsid w:val="00675E3D"/>
    <w:rPr>
      <w:rFonts w:eastAsiaTheme="majorEastAsia" w:cstheme="majorBidi"/>
      <w:color w:val="2F5496" w:themeColor="accent1" w:themeShade="BF"/>
      <w:sz w:val="28"/>
      <w:szCs w:val="28"/>
    </w:rPr>
  </w:style>
  <w:style w:type="character" w:customStyle="1" w:styleId="4">
    <w:name w:val="見出し 4 (文字)"/>
    <w:basedOn w:val="DefaultParagraphFont"/>
    <w:uiPriority w:val="9"/>
    <w:semiHidden/>
    <w:rsid w:val="00675E3D"/>
    <w:rPr>
      <w:rFonts w:eastAsiaTheme="majorEastAsia" w:cstheme="majorBidi"/>
      <w:i/>
      <w:iCs/>
      <w:color w:val="2F5496" w:themeColor="accent1" w:themeShade="BF"/>
    </w:rPr>
  </w:style>
  <w:style w:type="character" w:customStyle="1" w:styleId="5">
    <w:name w:val="見出し 5 (文字)"/>
    <w:basedOn w:val="DefaultParagraphFont"/>
    <w:uiPriority w:val="9"/>
    <w:semiHidden/>
    <w:rsid w:val="00675E3D"/>
    <w:rPr>
      <w:rFonts w:eastAsiaTheme="majorEastAsia" w:cstheme="majorBidi"/>
      <w:color w:val="2F5496" w:themeColor="accent1" w:themeShade="BF"/>
    </w:rPr>
  </w:style>
  <w:style w:type="character" w:customStyle="1" w:styleId="6">
    <w:name w:val="見出し 6 (文字)"/>
    <w:basedOn w:val="DefaultParagraphFont"/>
    <w:uiPriority w:val="9"/>
    <w:semiHidden/>
    <w:rsid w:val="00675E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5E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5E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5E3D"/>
    <w:rPr>
      <w:rFonts w:eastAsiaTheme="majorEastAsia" w:cstheme="majorBidi"/>
      <w:color w:val="272727" w:themeColor="text1" w:themeTint="D8"/>
    </w:rPr>
  </w:style>
  <w:style w:type="character" w:customStyle="1" w:styleId="a">
    <w:name w:val="表題 (文字)"/>
    <w:basedOn w:val="DefaultParagraphFont"/>
    <w:uiPriority w:val="10"/>
    <w:rsid w:val="00675E3D"/>
    <w:rPr>
      <w:rFonts w:asciiTheme="majorHAnsi" w:eastAsiaTheme="majorEastAsia" w:hAnsiTheme="majorHAnsi" w:cstheme="majorBidi"/>
      <w:spacing w:val="-10"/>
      <w:kern w:val="28"/>
      <w:sz w:val="56"/>
      <w:szCs w:val="56"/>
    </w:rPr>
  </w:style>
  <w:style w:type="character" w:customStyle="1" w:styleId="a0">
    <w:name w:val="副題 (文字)"/>
    <w:basedOn w:val="DefaultParagraphFont"/>
    <w:uiPriority w:val="11"/>
    <w:rsid w:val="00675E3D"/>
    <w:rPr>
      <w:rFonts w:eastAsiaTheme="majorEastAsia" w:cstheme="majorBidi"/>
      <w:color w:val="595959" w:themeColor="text1" w:themeTint="A6"/>
      <w:spacing w:val="15"/>
      <w:sz w:val="28"/>
      <w:szCs w:val="28"/>
    </w:rPr>
  </w:style>
  <w:style w:type="paragraph" w:styleId="Quote">
    <w:name w:val="Quote"/>
    <w:link w:val="QuoteChar"/>
    <w:uiPriority w:val="29"/>
    <w:qFormat/>
    <w:rsid w:val="00675E3D"/>
    <w:pPr>
      <w:spacing w:before="160"/>
      <w:jc w:val="center"/>
    </w:pPr>
    <w:rPr>
      <w:i/>
      <w:iCs/>
      <w:color w:val="404040" w:themeColor="text1" w:themeTint="BF"/>
    </w:rPr>
  </w:style>
  <w:style w:type="character" w:customStyle="1" w:styleId="QuoteChar">
    <w:name w:val="Quote Char"/>
    <w:basedOn w:val="DefaultParagraphFont"/>
    <w:link w:val="Quote"/>
    <w:uiPriority w:val="29"/>
    <w:rsid w:val="00675E3D"/>
    <w:rPr>
      <w:i/>
      <w:iCs/>
      <w:color w:val="404040" w:themeColor="text1" w:themeTint="BF"/>
    </w:rPr>
  </w:style>
  <w:style w:type="paragraph" w:styleId="ListParagraph">
    <w:name w:val="List Paragraph"/>
    <w:uiPriority w:val="34"/>
    <w:qFormat/>
    <w:rsid w:val="00675E3D"/>
    <w:pPr>
      <w:ind w:left="720"/>
      <w:contextualSpacing/>
    </w:pPr>
  </w:style>
  <w:style w:type="character" w:styleId="IntenseEmphasis">
    <w:name w:val="Intense Emphasis"/>
    <w:basedOn w:val="DefaultParagraphFont"/>
    <w:uiPriority w:val="21"/>
    <w:qFormat/>
    <w:rsid w:val="00675E3D"/>
    <w:rPr>
      <w:i/>
      <w:iCs/>
      <w:color w:val="2F5496" w:themeColor="accent1" w:themeShade="BF"/>
    </w:rPr>
  </w:style>
  <w:style w:type="paragraph" w:styleId="IntenseQuote">
    <w:name w:val="Intense Quote"/>
    <w:link w:val="IntenseQuoteChar"/>
    <w:uiPriority w:val="30"/>
    <w:qFormat/>
    <w:rsid w:val="00675E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5E3D"/>
    <w:rPr>
      <w:i/>
      <w:iCs/>
      <w:color w:val="2F5496" w:themeColor="accent1" w:themeShade="BF"/>
    </w:rPr>
  </w:style>
  <w:style w:type="character" w:styleId="IntenseReference">
    <w:name w:val="Intense Reference"/>
    <w:basedOn w:val="DefaultParagraphFont"/>
    <w:uiPriority w:val="32"/>
    <w:qFormat/>
    <w:rsid w:val="00675E3D"/>
    <w:rPr>
      <w:b/>
      <w:bCs/>
      <w:smallCaps/>
      <w:color w:val="2F5496" w:themeColor="accent1" w:themeShade="BF"/>
      <w:spacing w:val="5"/>
    </w:rPr>
  </w:style>
  <w:style w:type="paragraph" w:styleId="NormalWeb">
    <w:name w:val="Normal (Web)"/>
    <w:uiPriority w:val="99"/>
    <w:semiHidden/>
    <w:unhideWhenUsed/>
    <w:rsid w:val="00675E3D"/>
    <w:pPr>
      <w:spacing w:before="100" w:beforeAutospacing="1" w:after="100" w:afterAutospacing="1" w:line="240" w:lineRule="auto"/>
    </w:pPr>
    <w:rPr>
      <w:rFonts w:ascii="Times New Roman" w:eastAsia="Times New Roman" w:hAnsi="Times New Roman" w:cs="Times New Roman"/>
    </w:rPr>
  </w:style>
  <w:style w:type="paragraph" w:customStyle="1" w:styleId="msonormal0">
    <w:name w:val="msonormal"/>
    <w:rsid w:val="005A0725"/>
    <w:pPr>
      <w:spacing w:before="100" w:beforeAutospacing="1" w:after="100" w:afterAutospacing="1" w:line="240" w:lineRule="auto"/>
    </w:pPr>
    <w:rPr>
      <w:rFonts w:ascii="Times New Roman" w:eastAsia="Times New Roman" w:hAnsi="Times New Roman" w:cs="Times New Roman"/>
    </w:rPr>
  </w:style>
  <w:style w:type="character" w:customStyle="1" w:styleId="apple-tab-span">
    <w:name w:val="apple-tab-span"/>
    <w:basedOn w:val="DefaultParagraphFont"/>
    <w:rsid w:val="005A0725"/>
  </w:style>
  <w:style w:type="character" w:styleId="Hyperlink">
    <w:name w:val="Hyperlink"/>
    <w:basedOn w:val="DefaultParagraphFont"/>
    <w:uiPriority w:val="99"/>
    <w:unhideWhenUsed/>
    <w:rsid w:val="005A0725"/>
    <w:rPr>
      <w:color w:val="0000FF"/>
      <w:u w:val="single"/>
    </w:rPr>
  </w:style>
  <w:style w:type="character" w:styleId="FollowedHyperlink">
    <w:name w:val="FollowedHyperlink"/>
    <w:basedOn w:val="DefaultParagraphFont"/>
    <w:uiPriority w:val="99"/>
    <w:semiHidden/>
    <w:unhideWhenUsed/>
    <w:rsid w:val="005A0725"/>
    <w:rPr>
      <w:color w:val="800080"/>
      <w:u w:val="single"/>
    </w:rPr>
  </w:style>
  <w:style w:type="paragraph" w:styleId="Header">
    <w:name w:val="header"/>
    <w:link w:val="HeaderChar"/>
    <w:uiPriority w:val="99"/>
    <w:unhideWhenUsed/>
    <w:rsid w:val="005A07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725"/>
  </w:style>
  <w:style w:type="character" w:styleId="PageNumber">
    <w:name w:val="page number"/>
    <w:basedOn w:val="DefaultParagraphFont"/>
    <w:uiPriority w:val="99"/>
    <w:semiHidden/>
    <w:unhideWhenUsed/>
    <w:rsid w:val="005A0725"/>
  </w:style>
  <w:style w:type="paragraph" w:styleId="NoSpacing">
    <w:name w:val="No Spacing"/>
    <w:uiPriority w:val="1"/>
    <w:qFormat/>
    <w:rsid w:val="00312941"/>
    <w:pPr>
      <w:spacing w:after="0" w:line="240" w:lineRule="auto"/>
    </w:p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Revision">
    <w:name w:val="Revision"/>
    <w:hidden/>
    <w:uiPriority w:val="99"/>
    <w:semiHidden/>
    <w:rsid w:val="0090047F"/>
    <w:pPr>
      <w:spacing w:after="0" w:line="240" w:lineRule="auto"/>
    </w:pPr>
  </w:style>
  <w:style w:type="character" w:styleId="CommentReference">
    <w:name w:val="annotation reference"/>
    <w:basedOn w:val="DefaultParagraphFont"/>
    <w:uiPriority w:val="99"/>
    <w:semiHidden/>
    <w:unhideWhenUsed/>
    <w:rsid w:val="006A5F64"/>
    <w:rPr>
      <w:sz w:val="18"/>
      <w:szCs w:val="18"/>
    </w:rPr>
  </w:style>
  <w:style w:type="paragraph" w:styleId="CommentText">
    <w:name w:val="annotation text"/>
    <w:link w:val="CommentTextChar"/>
    <w:uiPriority w:val="99"/>
    <w:unhideWhenUsed/>
    <w:rsid w:val="006A5F64"/>
  </w:style>
  <w:style w:type="character" w:customStyle="1" w:styleId="CommentTextChar">
    <w:name w:val="Comment Text Char"/>
    <w:basedOn w:val="DefaultParagraphFont"/>
    <w:link w:val="CommentText"/>
    <w:uiPriority w:val="99"/>
    <w:rsid w:val="006A5F64"/>
  </w:style>
  <w:style w:type="paragraph" w:styleId="CommentSubject">
    <w:name w:val="annotation subject"/>
    <w:basedOn w:val="CommentText"/>
    <w:next w:val="CommentText"/>
    <w:link w:val="CommentSubjectChar"/>
    <w:uiPriority w:val="99"/>
    <w:semiHidden/>
    <w:unhideWhenUsed/>
    <w:rsid w:val="006A5F64"/>
    <w:rPr>
      <w:b/>
      <w:bCs/>
    </w:rPr>
  </w:style>
  <w:style w:type="character" w:customStyle="1" w:styleId="CommentSubjectChar">
    <w:name w:val="Comment Subject Char"/>
    <w:basedOn w:val="CommentTextChar"/>
    <w:link w:val="CommentSubject"/>
    <w:uiPriority w:val="99"/>
    <w:semiHidden/>
    <w:rsid w:val="006A5F64"/>
    <w:rPr>
      <w:b/>
      <w:bCs/>
    </w:rPr>
  </w:style>
  <w:style w:type="table" w:customStyle="1" w:styleId="a3">
    <w:basedOn w:val="TableNormal3"/>
    <w:tblPr>
      <w:tblStyleRowBandSize w:val="1"/>
      <w:tblStyleColBandSize w:val="1"/>
      <w:tblCellMar>
        <w:top w:w="0" w:type="dxa"/>
        <w:left w:w="108" w:type="dxa"/>
        <w:bottom w:w="0" w:type="dxa"/>
        <w:right w:w="108" w:type="dxa"/>
      </w:tblCellMar>
    </w:tblPr>
  </w:style>
  <w:style w:type="table" w:customStyle="1" w:styleId="a4">
    <w:basedOn w:val="TableNormal3"/>
    <w:tblPr>
      <w:tblStyleRowBandSize w:val="1"/>
      <w:tblStyleColBandSize w:val="1"/>
      <w:tblCellMar>
        <w:top w:w="0" w:type="dxa"/>
        <w:left w:w="108" w:type="dxa"/>
        <w:bottom w:w="0" w:type="dxa"/>
        <w:right w:w="108" w:type="dxa"/>
      </w:tblCellMar>
    </w:tblPr>
  </w:style>
  <w:style w:type="table" w:customStyle="1" w:styleId="a5">
    <w:basedOn w:val="TableNormal2"/>
    <w:tblPr>
      <w:tblStyleRowBandSize w:val="1"/>
      <w:tblStyleColBandSize w:val="1"/>
      <w:tblCellMar>
        <w:top w:w="0" w:type="dxa"/>
        <w:left w:w="108" w:type="dxa"/>
        <w:bottom w:w="0" w:type="dxa"/>
        <w:right w:w="108" w:type="dxa"/>
      </w:tblCellMar>
    </w:tblPr>
  </w:style>
  <w:style w:type="table" w:customStyle="1" w:styleId="a6">
    <w:basedOn w:val="TableNormal2"/>
    <w:tblPr>
      <w:tblStyleRowBandSize w:val="1"/>
      <w:tblStyleColBandSize w:val="1"/>
      <w:tblCellMar>
        <w:top w:w="0" w:type="dxa"/>
        <w:left w:w="108" w:type="dxa"/>
        <w:bottom w:w="0" w:type="dxa"/>
        <w:right w:w="108" w:type="dxa"/>
      </w:tblCellMar>
    </w:tblPr>
  </w:style>
  <w:style w:type="paragraph" w:styleId="Subtitle">
    <w:name w:val="Subtitle"/>
    <w:basedOn w:val="Normal"/>
    <w:next w:val="Normal"/>
    <w:uiPriority w:val="11"/>
    <w:qFormat/>
    <w:rPr>
      <w:color w:val="595959"/>
      <w:sz w:val="28"/>
      <w:szCs w:val="28"/>
    </w:rPr>
  </w:style>
  <w:style w:type="table" w:customStyle="1" w:styleId="a7">
    <w:basedOn w:val="TableNormal1"/>
    <w:tblPr>
      <w:tblStyleRowBandSize w:val="1"/>
      <w:tblStyleColBandSize w:val="1"/>
      <w:tblCellMar>
        <w:top w:w="0" w:type="dxa"/>
        <w:left w:w="108" w:type="dxa"/>
        <w:bottom w:w="0" w:type="dxa"/>
        <w:right w:w="108" w:type="dxa"/>
      </w:tblCellMar>
    </w:tblPr>
  </w:style>
  <w:style w:type="table" w:customStyle="1" w:styleId="a8">
    <w:basedOn w:val="TableNormal1"/>
    <w:tblPr>
      <w:tblStyleRowBandSize w:val="1"/>
      <w:tblStyleColBandSize w:val="1"/>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942460"/>
    <w:rPr>
      <w:color w:val="605E5C"/>
      <w:shd w:val="clear" w:color="auto" w:fill="E1DFDD"/>
    </w:rPr>
  </w:style>
  <w:style w:type="paragraph" w:customStyle="1" w:styleId="p1">
    <w:name w:val="p1"/>
    <w:basedOn w:val="Normal"/>
    <w:rsid w:val="00DB7D67"/>
    <w:pPr>
      <w:spacing w:before="100" w:beforeAutospacing="1" w:after="100" w:afterAutospacing="1"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xie00355@umn.ed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okings.edu/articles/the-global-ai-race-will-us-innovation-lead-or-la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eicheng@i.kyoto-u.ac.jp" TargetMode="External"/><Relationship Id="rId4" Type="http://schemas.openxmlformats.org/officeDocument/2006/relationships/settings" Target="settings.xml"/><Relationship Id="rId9" Type="http://schemas.openxmlformats.org/officeDocument/2006/relationships/hyperlink" Target="mailto:li.ming.itgp@osaka-u.ac.j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cPOKrFp9+w6h5VjccJ4ey8clsA==">CgMxLjAaJQoBMBIgCh4IB0IaCg9UaW1lcyBOZXcgUm9tYW4SB0d1bmdzdWg4AHIhMWFPb2xfbGFRcDdTVVd6ckQwLUZpOWpxcWY3WHBjVEdK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44</Pages>
  <Words>11059</Words>
  <Characters>63037</Characters>
  <Application>Microsoft Office Word</Application>
  <DocSecurity>0</DocSecurity>
  <Lines>525</Lines>
  <Paragraphs>147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qinxie2023@outlook.com</dc:creator>
  <cp:lastModifiedBy>qinxie2023@outlook.com</cp:lastModifiedBy>
  <cp:revision>23</cp:revision>
  <dcterms:created xsi:type="dcterms:W3CDTF">2025-10-21T01:50:00Z</dcterms:created>
  <dcterms:modified xsi:type="dcterms:W3CDTF">2025-11-21T14:33:00Z</dcterms:modified>
</cp:coreProperties>
</file>